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滁州市储备粮油管理有限公司沙河分公司升级改造项目跟踪审计服务</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ascii="宋体" w:cs="宋体"/>
          <w:sz w:val="30"/>
          <w:szCs w:val="30"/>
          <w:u w:val="single"/>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5</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招标公告信息</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_Toc24106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pStyle w:val="2"/>
        <w:pageBreakBefore/>
        <w:spacing w:before="156" w:beforeLines="50" w:after="156" w:afterLines="50" w:line="440" w:lineRule="exact"/>
        <w:jc w:val="center"/>
        <w:rPr>
          <w:rFonts w:hint="eastAsia" w:ascii="Times New Roman" w:hAnsi="Times New Roman" w:eastAsia="宋体" w:cs="Times New Roman"/>
          <w:b/>
          <w:bCs/>
          <w:sz w:val="32"/>
          <w:szCs w:val="32"/>
        </w:rPr>
      </w:pPr>
      <w:bookmarkStart w:id="0" w:name="_Toc24106"/>
      <w:r>
        <w:rPr>
          <w:rFonts w:hint="eastAsia" w:ascii="仿宋" w:hAnsi="仿宋" w:cs="仿宋"/>
        </w:rPr>
        <w:t>第一章</w:t>
      </w:r>
      <w:r>
        <w:rPr>
          <w:rFonts w:ascii="仿宋" w:hAnsi="仿宋" w:cs="仿宋"/>
        </w:rPr>
        <w:t xml:space="preserve"> </w:t>
      </w:r>
      <w:bookmarkEnd w:id="0"/>
      <w:r>
        <w:rPr>
          <w:rFonts w:hint="eastAsia" w:ascii="Times New Roman" w:hAnsi="Times New Roman" w:eastAsia="宋体" w:cs="Times New Roman"/>
          <w:b/>
          <w:bCs/>
          <w:sz w:val="32"/>
          <w:szCs w:val="32"/>
        </w:rPr>
        <w:t>招标公告信息</w:t>
      </w:r>
      <w:bookmarkStart w:id="1" w:name="_Toc461631222"/>
      <w:bookmarkStart w:id="2" w:name="_Toc246996898"/>
      <w:bookmarkStart w:id="3" w:name="_Toc15058843"/>
      <w:bookmarkStart w:id="4" w:name="_Toc296602400"/>
      <w:bookmarkStart w:id="5" w:name="_Toc247085669"/>
      <w:bookmarkStart w:id="6" w:name="_Toc506107265"/>
      <w:bookmarkStart w:id="7" w:name="_Toc324404811"/>
    </w:p>
    <w:bookmarkEnd w:id="1"/>
    <w:bookmarkEnd w:id="2"/>
    <w:bookmarkEnd w:id="3"/>
    <w:bookmarkEnd w:id="4"/>
    <w:bookmarkEnd w:id="5"/>
    <w:bookmarkEnd w:id="6"/>
    <w:bookmarkEnd w:id="7"/>
    <w:tbl>
      <w:tblPr>
        <w:tblStyle w:val="46"/>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7"/>
        <w:gridCol w:w="374"/>
        <w:gridCol w:w="2608"/>
        <w:gridCol w:w="2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bookmarkStart w:id="8" w:name="_Toc179632527"/>
            <w:bookmarkStart w:id="9" w:name="_Toc152045511"/>
            <w:bookmarkStart w:id="10" w:name="_Toc152042287"/>
            <w:bookmarkStart w:id="11" w:name="_Toc144974479"/>
            <w:r>
              <w:rPr>
                <w:rFonts w:hint="eastAsia" w:ascii="宋体" w:hAnsi="宋体" w:cs="宋体"/>
                <w:bCs/>
                <w:color w:val="auto"/>
                <w:kern w:val="1"/>
                <w:szCs w:val="21"/>
              </w:rPr>
              <w:t>项目</w:t>
            </w:r>
            <w:r>
              <w:rPr>
                <w:rFonts w:hint="eastAsia" w:ascii="宋体" w:hAnsi="宋体" w:cs="宋体"/>
                <w:color w:val="auto"/>
                <w:kern w:val="0"/>
                <w:szCs w:val="21"/>
              </w:rPr>
              <w:t>名称</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滁州市储备粮油管理有限公司沙河分公司升级改造项目跟踪审计服务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招标方式</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kern w:val="0"/>
                <w:szCs w:val="21"/>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是否为</w:t>
            </w:r>
            <w:r>
              <w:rPr>
                <w:rFonts w:hint="eastAsia" w:ascii="宋体" w:hAnsi="宋体" w:cs="宋体"/>
                <w:color w:val="auto"/>
                <w:szCs w:val="21"/>
              </w:rPr>
              <w:t>网上电子招投标项目</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投标资格要求</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1、企业要求：具有相应服务能力的企业；</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bCs/>
                <w:color w:val="auto"/>
                <w:szCs w:val="21"/>
              </w:rPr>
            </w:pPr>
            <w:r>
              <w:rPr>
                <w:rFonts w:hint="eastAsia" w:ascii="宋体" w:hAnsi="宋体"/>
                <w:color w:val="auto"/>
                <w:szCs w:val="21"/>
                <w:lang w:val="en-US" w:eastAsia="zh-CN"/>
              </w:rPr>
              <w:t>2、投标人拟派的项目负责人必须具有建设部颁发的注册在投标单位的土建工程专业造价工程师证书（或一级造价师）。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是否接受联合体投标</w:t>
            </w:r>
          </w:p>
        </w:tc>
        <w:tc>
          <w:tcPr>
            <w:tcW w:w="8678" w:type="dxa"/>
            <w:gridSpan w:val="4"/>
            <w:noWrap w:val="0"/>
            <w:vAlign w:val="center"/>
          </w:tcPr>
          <w:p>
            <w:pPr>
              <w:pStyle w:val="45"/>
              <w:keepNext w:val="0"/>
              <w:keepLines w:val="0"/>
              <w:pageBreakBefore w:val="0"/>
              <w:kinsoku/>
              <w:wordWrap/>
              <w:overflowPunct/>
              <w:topLinePunct w:val="0"/>
              <w:autoSpaceDE/>
              <w:autoSpaceDN/>
              <w:bidi w:val="0"/>
              <w:adjustRightInd/>
              <w:snapToGrid/>
              <w:spacing w:after="0" w:line="380" w:lineRule="exact"/>
              <w:ind w:left="0" w:leftChars="0" w:firstLine="0" w:firstLineChars="0"/>
              <w:textAlignment w:val="auto"/>
              <w:rPr>
                <w:rFonts w:hint="eastAsia" w:hAnsi="宋体" w:cs="宋体"/>
                <w:b/>
                <w:bCs/>
                <w:color w:val="auto"/>
                <w:szCs w:val="21"/>
              </w:rPr>
            </w:pPr>
            <w:r>
              <w:rPr>
                <w:rFonts w:hint="eastAsia" w:ascii="宋体" w:hAnsi="宋体" w:eastAsia="宋体" w:cs="宋体"/>
                <w:color w:val="auto"/>
                <w:kern w:val="0"/>
                <w:sz w:val="21"/>
                <w:szCs w:val="21"/>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招标项目内容范围</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本工程施工图纸和工程量清单中的所有内容的跟踪审计服务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kern w:val="0"/>
                <w:szCs w:val="21"/>
              </w:rPr>
              <w:t>招标公告发布时间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5</w:t>
            </w:r>
            <w:r>
              <w:rPr>
                <w:rFonts w:hint="eastAsia" w:ascii="宋体" w:hAnsi="宋体" w:cs="宋体"/>
                <w:szCs w:val="21"/>
              </w:rPr>
              <w:t>月</w:t>
            </w:r>
            <w:r>
              <w:rPr>
                <w:rFonts w:hint="eastAsia" w:ascii="宋体" w:hAnsi="宋体" w:cs="宋体"/>
                <w:szCs w:val="21"/>
                <w:lang w:val="en-US" w:eastAsia="zh-CN"/>
              </w:rPr>
              <w:t>8</w:t>
            </w:r>
            <w:r>
              <w:rPr>
                <w:rFonts w:hint="eastAsia" w:ascii="宋体" w:hAnsi="宋体" w:cs="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递交投标文件的截止时间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kern w:val="0"/>
                <w:szCs w:val="21"/>
                <w:lang w:eastAsia="zh-CN"/>
              </w:rPr>
            </w:pPr>
            <w:r>
              <w:rPr>
                <w:rFonts w:hint="eastAsia" w:ascii="宋体" w:hAnsi="宋体" w:cs="宋体"/>
                <w:szCs w:val="21"/>
                <w:lang w:eastAsia="zh-CN"/>
              </w:rPr>
              <w:t xml:space="preserve">2024年5月15日9时30分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szCs w:val="21"/>
              </w:rPr>
            </w:pPr>
            <w:r>
              <w:rPr>
                <w:rFonts w:hint="eastAsia" w:ascii="宋体" w:hAnsi="宋体" w:cs="宋体"/>
                <w:szCs w:val="21"/>
              </w:rPr>
              <w:t>开标地点</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szCs w:val="21"/>
                <w:lang w:eastAsia="zh-CN"/>
              </w:rPr>
            </w:pPr>
            <w:r>
              <w:rPr>
                <w:rFonts w:hint="eastAsia" w:ascii="宋体" w:hAnsi="宋体" w:cs="宋体"/>
                <w:szCs w:val="21"/>
                <w:lang w:eastAsia="zh-CN"/>
              </w:rPr>
              <w:t>安徽省滁州市稻香路27号滁州市储备粮油管理有限公司会议室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开标时间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kern w:val="0"/>
                <w:szCs w:val="21"/>
                <w:lang w:eastAsia="zh-CN"/>
              </w:rPr>
            </w:pPr>
            <w:r>
              <w:rPr>
                <w:rFonts w:hint="eastAsia" w:ascii="宋体" w:hAnsi="宋体" w:cs="宋体"/>
                <w:szCs w:val="21"/>
                <w:lang w:eastAsia="zh-CN"/>
              </w:rPr>
              <w:t xml:space="preserve">2024年5月15日9时30分 </w:t>
            </w:r>
            <w:bookmarkStart w:id="26" w:name="_GoBack"/>
            <w:bookmark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招标文件售价</w:t>
            </w:r>
          </w:p>
        </w:tc>
        <w:tc>
          <w:tcPr>
            <w:tcW w:w="8678" w:type="dxa"/>
            <w:gridSpan w:val="4"/>
            <w:noWrap w:val="0"/>
            <w:vAlign w:val="center"/>
          </w:tcPr>
          <w:p>
            <w:pPr>
              <w:pStyle w:val="42"/>
              <w:keepNext w:val="0"/>
              <w:keepLines w:val="0"/>
              <w:pageBreakBefore w:val="0"/>
              <w:kinsoku/>
              <w:wordWrap/>
              <w:overflowPunct/>
              <w:topLinePunct w:val="0"/>
              <w:autoSpaceDE/>
              <w:autoSpaceDN/>
              <w:bidi w:val="0"/>
              <w:adjustRightInd/>
              <w:snapToGrid/>
              <w:spacing w:before="0" w:beforeAutospacing="0" w:after="0" w:afterAutospacing="0" w:line="380" w:lineRule="exact"/>
              <w:textAlignment w:val="auto"/>
              <w:rPr>
                <w:rFonts w:hint="eastAsia"/>
                <w:color w:val="auto"/>
                <w:sz w:val="21"/>
                <w:szCs w:val="21"/>
              </w:rPr>
            </w:pPr>
            <w:r>
              <w:rPr>
                <w:rFonts w:hint="eastAsia"/>
                <w:color w:val="auto"/>
                <w:sz w:val="21"/>
                <w:szCs w:val="21"/>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信  息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项目概况</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color w:val="auto"/>
                <w:highlight w:val="none"/>
              </w:rPr>
            </w:pPr>
            <w:r>
              <w:rPr>
                <w:rFonts w:hint="eastAsia"/>
                <w:color w:val="auto"/>
                <w:highlight w:val="none"/>
              </w:rPr>
              <w:t>总投资约</w:t>
            </w:r>
            <w:r>
              <w:rPr>
                <w:rFonts w:hint="eastAsia"/>
                <w:color w:val="auto"/>
                <w:highlight w:val="none"/>
                <w:lang w:val="en-US" w:eastAsia="zh-CN"/>
              </w:rPr>
              <w:t>292</w:t>
            </w:r>
            <w:r>
              <w:rPr>
                <w:rFonts w:hint="eastAsia"/>
                <w:color w:val="auto"/>
                <w:highlight w:val="none"/>
              </w:rPr>
              <w:t>万元。具体详见工程量清单和施工图纸。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标段划分</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一个标段。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pStyle w:val="25"/>
              <w:spacing w:line="300" w:lineRule="exact"/>
              <w:jc w:val="center"/>
              <w:rPr>
                <w:rFonts w:hint="eastAsia" w:ascii="宋体" w:hAnsi="宋体" w:eastAsia="宋体" w:cs="宋体"/>
                <w:color w:val="auto"/>
                <w:szCs w:val="21"/>
                <w:highlight w:val="none"/>
                <w:lang w:eastAsia="zh-CN"/>
              </w:rPr>
            </w:pPr>
            <w:r>
              <w:rPr>
                <w:rFonts w:hint="eastAsia"/>
                <w:szCs w:val="21"/>
                <w:highlight w:val="none"/>
                <w:lang w:val="en-US" w:eastAsia="zh-CN"/>
              </w:rPr>
              <w:t>审计费</w:t>
            </w:r>
          </w:p>
        </w:tc>
        <w:tc>
          <w:tcPr>
            <w:tcW w:w="8678" w:type="dxa"/>
            <w:gridSpan w:val="4"/>
            <w:noWrap w:val="0"/>
            <w:vAlign w:val="center"/>
          </w:tcPr>
          <w:p>
            <w:pPr>
              <w:rPr>
                <w:rFonts w:hint="eastAsia" w:ascii="宋体" w:hAnsi="宋体" w:eastAsia="宋体" w:cs="宋体"/>
                <w:color w:val="auto"/>
                <w:szCs w:val="21"/>
                <w:highlight w:val="none"/>
                <w:lang w:eastAsia="zh-CN"/>
              </w:rPr>
            </w:pPr>
            <w:r>
              <w:rPr>
                <w:rFonts w:hint="eastAsia"/>
                <w:b/>
                <w:bCs/>
                <w:color w:val="auto"/>
                <w:highlight w:val="none"/>
              </w:rPr>
              <w:t>基本费率</w:t>
            </w:r>
            <w:r>
              <w:rPr>
                <w:rFonts w:hint="eastAsia"/>
                <w:b/>
                <w:bCs/>
                <w:color w:val="auto"/>
                <w:highlight w:val="none"/>
                <w:lang w:val="en-US" w:eastAsia="zh-CN"/>
              </w:rPr>
              <w:t>3</w:t>
            </w:r>
            <w:r>
              <w:rPr>
                <w:rFonts w:hint="eastAsia"/>
                <w:b/>
                <w:bCs/>
                <w:color w:val="auto"/>
                <w:highlight w:val="none"/>
              </w:rPr>
              <w:t>‰；审核成果费率1.50%（费率固定不变）。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评标办法</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经评审的最低投标价法（扣除可抵扣进项税后价格）</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服务费支</w:t>
            </w:r>
            <w:r>
              <w:rPr>
                <w:rFonts w:hint="eastAsia" w:ascii="宋体" w:hAnsi="宋体" w:cs="宋体"/>
                <w:color w:val="auto"/>
                <w:kern w:val="0"/>
                <w:szCs w:val="21"/>
              </w:rPr>
              <w:t>付方式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项目概算</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工程投资约292万</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审计费约1.32万元</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计划工期</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资金来源</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自筹资金</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招标文件等获取方式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pacing w:val="-4"/>
                <w:kern w:val="0"/>
                <w:szCs w:val="21"/>
                <w:highlight w:val="none"/>
                <w:lang w:val="en-US" w:eastAsia="zh-CN"/>
              </w:rPr>
            </w:pP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eastAsia="宋体"/>
                <w:color w:val="auto"/>
                <w:szCs w:val="21"/>
                <w:highlight w:val="none"/>
                <w:lang w:val="en-US" w:eastAsia="zh-CN"/>
              </w:rPr>
            </w:pPr>
            <w:r>
              <w:rPr>
                <w:rFonts w:hint="eastAsia" w:ascii="宋体" w:hAnsi="宋体" w:cs="宋体"/>
                <w:color w:val="auto"/>
                <w:szCs w:val="21"/>
                <w:highlight w:val="none"/>
              </w:rPr>
              <w:t>投标保证金缴纳要求：</w:t>
            </w:r>
            <w:r>
              <w:rPr>
                <w:rFonts w:hint="eastAsia" w:ascii="宋体" w:hAnsi="宋体" w:cs="宋体"/>
                <w:color w:val="auto"/>
                <w:szCs w:val="21"/>
                <w:highlight w:val="none"/>
                <w:lang w:val="en-US" w:eastAsia="zh-CN"/>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获取方式：</w:t>
            </w: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4842" w:type="dxa"/>
            <w:gridSpan w:val="2"/>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招标人名称：</w:t>
            </w:r>
            <w:r>
              <w:rPr>
                <w:rFonts w:hint="eastAsia" w:ascii="宋体" w:hAnsi="宋体" w:eastAsia="宋体" w:cs="宋体"/>
                <w:color w:val="auto"/>
                <w:szCs w:val="21"/>
                <w:lang w:eastAsia="zh-CN"/>
              </w:rPr>
              <w:t>滁州市储备粮油管理有限公司</w:t>
            </w:r>
            <w:r>
              <w:rPr>
                <w:rFonts w:hint="eastAsia" w:ascii="宋体" w:hAnsi="宋体" w:eastAsia="宋体" w:cs="宋体"/>
                <w:color w:val="auto"/>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地址：</w:t>
            </w:r>
            <w:r>
              <w:rPr>
                <w:rFonts w:hint="eastAsia" w:ascii="宋体" w:hAnsi="宋体" w:eastAsia="宋体" w:cs="宋体"/>
                <w:color w:val="auto"/>
                <w:szCs w:val="21"/>
                <w:lang w:val="en-US" w:eastAsia="zh-CN"/>
              </w:rPr>
              <w:t>滁州市稻香路27号</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联系人：</w:t>
            </w:r>
            <w:r>
              <w:rPr>
                <w:rFonts w:hint="eastAsia" w:ascii="宋体" w:hAnsi="宋体" w:eastAsia="宋体" w:cs="宋体"/>
                <w:color w:val="auto"/>
                <w:szCs w:val="21"/>
                <w:lang w:val="en-US" w:eastAsia="zh-CN"/>
              </w:rPr>
              <w:t xml:space="preserve"> 杨康、吕健</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18255047168、13955018398</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监督人:李功元</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联系方式：15805500365</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监督电话:0550-3061544</w:t>
            </w:r>
          </w:p>
        </w:tc>
        <w:tc>
          <w:tcPr>
            <w:tcW w:w="5591" w:type="dxa"/>
            <w:gridSpan w:val="3"/>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 xml:space="preserve">招标代理机构名称：滁州市城投工程咨询管理有限公司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地址： 滁州市龙蟠大道109号房产大厦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曹思敏</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u w:val="single"/>
                <w:lang w:eastAsia="zh-CN"/>
              </w:rPr>
            </w:pPr>
            <w:r>
              <w:rPr>
                <w:rFonts w:hint="eastAsia" w:ascii="宋体" w:hAnsi="宋体" w:cs="宋体"/>
                <w:color w:val="auto"/>
                <w:szCs w:val="21"/>
              </w:rPr>
              <w:t>联系方式：</w:t>
            </w:r>
            <w:r>
              <w:rPr>
                <w:rFonts w:hint="eastAsia" w:ascii="宋体" w:hAnsi="宋体" w:cs="宋体"/>
                <w:color w:val="auto"/>
                <w:szCs w:val="21"/>
                <w:lang w:eastAsia="zh-CN"/>
              </w:rPr>
              <w:t>0550-3519516、18712012204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color w:val="auto"/>
              </w:rPr>
            </w:pPr>
            <w:r>
              <w:rPr>
                <w:rFonts w:hint="eastAsia"/>
                <w:color w:val="auto"/>
              </w:rPr>
              <w:t>公告发布媒体：</w:t>
            </w:r>
            <w:r>
              <w:rPr>
                <w:rFonts w:hint="eastAsia"/>
                <w:color w:val="auto"/>
                <w:lang w:eastAsia="zh-CN"/>
              </w:rPr>
              <w:t>中国扬子集团（http://www.yangzigroup.cn/case/jingpinzhuzhai/）、</w:t>
            </w:r>
            <w:r>
              <w:rPr>
                <w:rFonts w:hint="eastAsia"/>
                <w:color w:val="auto"/>
                <w:lang w:val="en-US" w:eastAsia="zh-CN"/>
              </w:rPr>
              <w:t>滁州市工投公司公众号</w:t>
            </w:r>
            <w:r>
              <w:rPr>
                <w:rFonts w:hint="eastAsia"/>
                <w:color w:val="auto"/>
                <w:lang w:eastAsia="zh-CN"/>
              </w:rPr>
              <w:t xml:space="preserve">  </w:t>
            </w:r>
            <w:r>
              <w:rPr>
                <w:rFonts w:hint="eastAsia"/>
                <w:color w:val="auto"/>
              </w:rPr>
              <w:t xml:space="preserve">  </w:t>
            </w:r>
          </w:p>
        </w:tc>
      </w:tr>
      <w:bookmarkEnd w:id="8"/>
      <w:bookmarkEnd w:id="9"/>
      <w:bookmarkEnd w:id="10"/>
      <w:bookmarkEnd w:id="11"/>
    </w:tbl>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rPr>
          <w:rFonts w:hint="eastAsia"/>
        </w:rPr>
      </w:pPr>
      <w:bookmarkStart w:id="12" w:name="_Toc25340"/>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0" w:after="0"/>
      </w:pPr>
      <w:r>
        <w:rPr>
          <w:rFonts w:hint="eastAsia"/>
        </w:rPr>
        <w:t>第二章</w:t>
      </w:r>
      <w:r>
        <w:t></w:t>
      </w:r>
      <w:r>
        <w:rPr>
          <w:rFonts w:hint="eastAsia"/>
        </w:rPr>
        <w:t>投标须知</w:t>
      </w:r>
      <w:bookmarkEnd w:id="12"/>
    </w:p>
    <w:p>
      <w:pPr>
        <w:spacing w:line="400" w:lineRule="exact"/>
        <w:jc w:val="center"/>
        <w:outlineLvl w:val="1"/>
        <w:rPr>
          <w:rFonts w:ascii="仿宋" w:hAnsi="仿宋" w:eastAsia="仿宋" w:cs="仿宋"/>
          <w:b/>
          <w:bCs/>
          <w:sz w:val="28"/>
        </w:rPr>
      </w:pPr>
      <w:bookmarkStart w:id="13"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13"/>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滁州市储备粮油管理有限公司沙河分公司升级改造项目跟踪审计服务</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工程投资约292万元，审计费约1.32万元。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292</w:t>
      </w:r>
      <w:r>
        <w:rPr>
          <w:rFonts w:hint="eastAsia" w:ascii="仿宋" w:hAnsi="仿宋" w:eastAsia="仿宋" w:cs="仿宋"/>
          <w:sz w:val="24"/>
          <w:u w:val="single"/>
        </w:rPr>
        <w:t>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hint="default" w:ascii="仿宋" w:hAnsi="仿宋" w:eastAsia="仿宋" w:cs="仿宋"/>
          <w:sz w:val="24"/>
          <w:lang w:val="en-US" w:eastAsia="zh-CN"/>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跟审服务</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lang w:val="en-US" w:eastAsia="zh-CN"/>
        </w:rPr>
        <w:t>审计服务</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hint="eastAsia" w:ascii="仿宋" w:hAnsi="仿宋" w:eastAsia="仿宋" w:cs="仿宋"/>
          <w:bCs/>
          <w:kern w:val="0"/>
          <w:sz w:val="24"/>
          <w:highlight w:val="none"/>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自签订合同之日起至整体竣工验收合格并出具审核成果文件止。</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企业资质要求：具有造价服务能力的企业；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人，具有造价师或造价员证书</w:t>
      </w:r>
      <w:r>
        <w:rPr>
          <w:rFonts w:hint="eastAsia" w:ascii="仿宋" w:hAnsi="仿宋" w:eastAsia="仿宋" w:cs="仿宋"/>
          <w:kern w:val="0"/>
          <w:sz w:val="24"/>
          <w:szCs w:val="24"/>
          <w:highlight w:val="none"/>
        </w:rPr>
        <w:t>。</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费率</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rPr>
        <w:t>经评审的最低投标价法</w:t>
      </w:r>
      <w:r>
        <w:rPr>
          <w:rFonts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w:t>
      </w:r>
      <w:r>
        <w:rPr>
          <w:rFonts w:hint="eastAsia" w:ascii="仿宋" w:hAnsi="仿宋" w:eastAsia="仿宋" w:cs="仿宋"/>
          <w:sz w:val="24"/>
          <w:lang w:val="en-US" w:eastAsia="zh-CN"/>
        </w:rPr>
        <w:t>扣除可抵扣进项税后价格</w:t>
      </w:r>
      <w:r>
        <w:rPr>
          <w:rFonts w:hint="eastAsia" w:ascii="仿宋" w:hAnsi="仿宋" w:eastAsia="仿宋" w:cs="仿宋"/>
          <w:sz w:val="24"/>
          <w:lang w:eastAsia="zh-CN"/>
        </w:rPr>
        <w:t>）</w:t>
      </w:r>
    </w:p>
    <w:p>
      <w:pPr>
        <w:spacing w:line="400" w:lineRule="exact"/>
        <w:jc w:val="center"/>
        <w:rPr>
          <w:rFonts w:ascii="仿宋" w:hAnsi="仿宋" w:eastAsia="仿宋" w:cs="仿宋"/>
          <w:sz w:val="28"/>
        </w:rPr>
      </w:pPr>
    </w:p>
    <w:p>
      <w:pPr>
        <w:spacing w:line="400" w:lineRule="exact"/>
        <w:jc w:val="center"/>
        <w:outlineLvl w:val="1"/>
        <w:rPr>
          <w:rFonts w:hint="eastAsia" w:ascii="仿宋" w:hAnsi="仿宋" w:eastAsia="仿宋" w:cs="仿宋"/>
          <w:sz w:val="28"/>
        </w:rPr>
      </w:pPr>
      <w:bookmarkStart w:id="14" w:name="_Toc29988"/>
    </w:p>
    <w:p>
      <w:pPr>
        <w:spacing w:line="400" w:lineRule="exact"/>
        <w:jc w:val="center"/>
        <w:outlineLvl w:val="1"/>
        <w:rPr>
          <w:rFonts w:hint="eastAsia" w:ascii="仿宋" w:hAnsi="仿宋" w:eastAsia="仿宋" w:cs="仿宋"/>
          <w:sz w:val="28"/>
        </w:rPr>
      </w:pPr>
    </w:p>
    <w:p>
      <w:pPr>
        <w:spacing w:line="400" w:lineRule="exact"/>
        <w:jc w:val="center"/>
        <w:outlineLvl w:val="1"/>
        <w:rPr>
          <w:rFonts w:ascii="仿宋" w:hAnsi="仿宋" w:eastAsia="仿宋" w:cs="仿宋"/>
          <w:sz w:val="28"/>
        </w:rPr>
      </w:pPr>
      <w:r>
        <w:rPr>
          <w:rFonts w:hint="eastAsia" w:ascii="仿宋" w:hAnsi="仿宋" w:eastAsia="仿宋" w:cs="仿宋"/>
          <w:sz w:val="28"/>
        </w:rPr>
        <w:t>二、招标文件</w:t>
      </w:r>
      <w:bookmarkEnd w:id="14"/>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11</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11</w:t>
      </w:r>
      <w:r>
        <w:rPr>
          <w:rFonts w:hint="eastAsia" w:ascii="仿宋" w:hAnsi="仿宋" w:eastAsia="仿宋" w:cs="仿宋"/>
          <w:bCs/>
          <w:sz w:val="24"/>
          <w:u w:val="single"/>
        </w:rPr>
        <w:t>日</w:t>
      </w:r>
      <w:r>
        <w:rPr>
          <w:rFonts w:ascii="仿宋" w:hAnsi="仿宋" w:eastAsia="仿宋" w:cs="仿宋"/>
          <w:bCs/>
          <w:kern w:val="0"/>
          <w:sz w:val="24"/>
          <w:u w:val="single"/>
        </w:rPr>
        <w:t>1</w:t>
      </w:r>
      <w:r>
        <w:rPr>
          <w:rFonts w:hint="eastAsia" w:ascii="仿宋" w:hAnsi="仿宋" w:eastAsia="仿宋" w:cs="仿宋"/>
          <w:bCs/>
          <w:kern w:val="0"/>
          <w:sz w:val="24"/>
          <w:u w:val="single"/>
          <w:lang w:val="en-US" w:eastAsia="zh-CN"/>
        </w:rPr>
        <w:t>7前</w:t>
      </w:r>
      <w:r>
        <w:rPr>
          <w:rFonts w:hint="eastAsia" w:ascii="仿宋" w:hAnsi="仿宋" w:eastAsia="仿宋" w:cs="仿宋"/>
          <w:kern w:val="0"/>
          <w:sz w:val="24"/>
        </w:rPr>
        <w:t>后以书面或者邮件形式通知各投标人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ascii="仿宋" w:hAnsi="仿宋" w:eastAsia="仿宋" w:cs="仿宋"/>
          <w:sz w:val="24"/>
        </w:rPr>
        <w:t>15.2.1</w:t>
      </w:r>
      <w:r>
        <w:rPr>
          <w:rFonts w:hint="eastAsia" w:ascii="仿宋" w:hAnsi="仿宋" w:eastAsia="仿宋" w:cs="仿宋"/>
          <w:sz w:val="24"/>
        </w:rPr>
        <w:t>投标人</w:t>
      </w:r>
      <w:r>
        <w:rPr>
          <w:rFonts w:hint="eastAsia" w:ascii="仿宋" w:hAnsi="仿宋" w:eastAsia="仿宋" w:cs="仿宋"/>
          <w:sz w:val="24"/>
          <w:highlight w:val="none"/>
        </w:rPr>
        <w:t>于</w:t>
      </w:r>
      <w:r>
        <w:rPr>
          <w:rFonts w:ascii="仿宋" w:hAnsi="仿宋" w:eastAsia="仿宋" w:cs="仿宋"/>
          <w:bCs/>
          <w:sz w:val="24"/>
          <w:highlight w:val="none"/>
        </w:rPr>
        <w:t>202</w:t>
      </w:r>
      <w:r>
        <w:rPr>
          <w:rFonts w:hint="eastAsia" w:ascii="仿宋" w:hAnsi="仿宋" w:eastAsia="仿宋" w:cs="仿宋"/>
          <w:bCs/>
          <w:sz w:val="24"/>
          <w:highlight w:val="none"/>
          <w:lang w:val="en-US" w:eastAsia="zh-CN"/>
        </w:rPr>
        <w:t>4</w:t>
      </w:r>
      <w:r>
        <w:rPr>
          <w:rFonts w:hint="eastAsia" w:ascii="仿宋" w:hAnsi="仿宋" w:eastAsia="仿宋" w:cs="仿宋"/>
          <w:bCs/>
          <w:sz w:val="24"/>
          <w:highlight w:val="none"/>
        </w:rPr>
        <w:t>年</w:t>
      </w:r>
      <w:r>
        <w:rPr>
          <w:rFonts w:hint="eastAsia" w:ascii="仿宋" w:hAnsi="仿宋" w:eastAsia="仿宋" w:cs="仿宋"/>
          <w:bCs/>
          <w:sz w:val="24"/>
          <w:highlight w:val="none"/>
          <w:lang w:val="en-US" w:eastAsia="zh-CN"/>
        </w:rPr>
        <w:t>5</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11</w:t>
      </w:r>
      <w:r>
        <w:rPr>
          <w:rFonts w:hint="eastAsia" w:ascii="仿宋" w:hAnsi="仿宋" w:eastAsia="仿宋" w:cs="仿宋"/>
          <w:bCs/>
          <w:sz w:val="24"/>
          <w:highlight w:val="none"/>
        </w:rPr>
        <w:fldChar w:fldCharType="begin"/>
      </w:r>
      <w:r>
        <w:rPr>
          <w:rFonts w:hint="eastAsia" w:ascii="仿宋" w:hAnsi="仿宋" w:eastAsia="仿宋" w:cs="仿宋"/>
          <w:bCs/>
          <w:sz w:val="24"/>
          <w:highlight w:val="none"/>
        </w:rPr>
        <w:instrText xml:space="preserve"> HYPERLINK "mailto:日12时前投标人将所遇到的问题以电子邮件形式传czsctgczx@163.com滁州市城投工程咨询管理有限公司电子邮箱，招标人将于2023年2月" </w:instrText>
      </w:r>
      <w:r>
        <w:rPr>
          <w:rFonts w:hint="eastAsia" w:ascii="仿宋" w:hAnsi="仿宋" w:eastAsia="仿宋" w:cs="仿宋"/>
          <w:bCs/>
          <w:sz w:val="24"/>
          <w:highlight w:val="none"/>
        </w:rPr>
        <w:fldChar w:fldCharType="separate"/>
      </w:r>
      <w:r>
        <w:rPr>
          <w:rStyle w:val="57"/>
          <w:rFonts w:hint="eastAsia" w:ascii="仿宋" w:hAnsi="仿宋" w:eastAsia="仿宋" w:cs="仿宋"/>
          <w:bCs/>
          <w:sz w:val="24"/>
          <w:highlight w:val="none"/>
        </w:rPr>
        <w:t>日</w:t>
      </w:r>
      <w:r>
        <w:rPr>
          <w:rStyle w:val="57"/>
          <w:rFonts w:ascii="仿宋" w:hAnsi="仿宋" w:eastAsia="仿宋" w:cs="仿宋"/>
          <w:bCs/>
          <w:sz w:val="24"/>
          <w:highlight w:val="none"/>
        </w:rPr>
        <w:t>1</w:t>
      </w:r>
      <w:r>
        <w:rPr>
          <w:rStyle w:val="57"/>
          <w:rFonts w:hint="eastAsia" w:ascii="仿宋" w:hAnsi="仿宋" w:eastAsia="仿宋" w:cs="仿宋"/>
          <w:bCs/>
          <w:sz w:val="24"/>
          <w:highlight w:val="none"/>
          <w:lang w:val="en-US" w:eastAsia="zh-CN"/>
        </w:rPr>
        <w:t>2</w:t>
      </w:r>
      <w:r>
        <w:rPr>
          <w:rStyle w:val="57"/>
          <w:rFonts w:hint="eastAsia" w:ascii="仿宋" w:hAnsi="仿宋" w:eastAsia="仿宋" w:cs="仿宋"/>
          <w:bCs/>
          <w:sz w:val="24"/>
          <w:highlight w:val="none"/>
        </w:rPr>
        <w:t>时前投标人将所遇到的问题以电子邮件形式传</w:t>
      </w:r>
      <w:r>
        <w:rPr>
          <w:rStyle w:val="57"/>
          <w:rFonts w:ascii="仿宋" w:hAnsi="仿宋" w:eastAsia="仿宋" w:cs="仿宋"/>
          <w:bCs/>
          <w:sz w:val="24"/>
          <w:highlight w:val="none"/>
        </w:rPr>
        <w:t>czsctgczx@163.com</w:t>
      </w:r>
      <w:r>
        <w:rPr>
          <w:rStyle w:val="57"/>
          <w:rFonts w:hint="eastAsia" w:ascii="仿宋" w:hAnsi="仿宋" w:eastAsia="仿宋" w:cs="仿宋"/>
          <w:bCs/>
          <w:sz w:val="24"/>
          <w:highlight w:val="none"/>
        </w:rPr>
        <w:t>滁州市城投工程咨询管理有限公司电子邮箱，招标人将于</w:t>
      </w:r>
      <w:r>
        <w:rPr>
          <w:rStyle w:val="57"/>
          <w:rFonts w:ascii="仿宋" w:hAnsi="仿宋" w:eastAsia="仿宋" w:cs="仿宋"/>
          <w:bCs/>
          <w:sz w:val="24"/>
          <w:highlight w:val="none"/>
        </w:rPr>
        <w:t>202</w:t>
      </w:r>
      <w:r>
        <w:rPr>
          <w:rStyle w:val="57"/>
          <w:rFonts w:hint="eastAsia" w:ascii="仿宋" w:hAnsi="仿宋" w:eastAsia="仿宋" w:cs="仿宋"/>
          <w:bCs/>
          <w:sz w:val="24"/>
          <w:highlight w:val="none"/>
          <w:lang w:val="en-US" w:eastAsia="zh-CN"/>
        </w:rPr>
        <w:t>4</w:t>
      </w:r>
      <w:r>
        <w:rPr>
          <w:rStyle w:val="57"/>
          <w:rFonts w:hint="eastAsia" w:ascii="仿宋" w:hAnsi="仿宋" w:eastAsia="仿宋" w:cs="仿宋"/>
          <w:bCs/>
          <w:sz w:val="24"/>
          <w:highlight w:val="none"/>
        </w:rPr>
        <w:t>年</w:t>
      </w:r>
      <w:r>
        <w:rPr>
          <w:rStyle w:val="57"/>
          <w:rFonts w:hint="eastAsia" w:ascii="仿宋" w:hAnsi="仿宋" w:eastAsia="仿宋" w:cs="仿宋"/>
          <w:bCs/>
          <w:sz w:val="24"/>
          <w:highlight w:val="none"/>
          <w:lang w:val="en-US" w:eastAsia="zh-CN"/>
        </w:rPr>
        <w:t>5</w:t>
      </w:r>
      <w:r>
        <w:rPr>
          <w:rStyle w:val="57"/>
          <w:rFonts w:hint="eastAsia" w:ascii="仿宋" w:hAnsi="仿宋" w:eastAsia="仿宋" w:cs="仿宋"/>
          <w:bCs/>
          <w:sz w:val="24"/>
          <w:highlight w:val="none"/>
        </w:rPr>
        <w:t>月</w:t>
      </w:r>
      <w:r>
        <w:rPr>
          <w:rFonts w:hint="eastAsia" w:ascii="仿宋" w:hAnsi="仿宋" w:eastAsia="仿宋" w:cs="仿宋"/>
          <w:bCs/>
          <w:sz w:val="24"/>
          <w:highlight w:val="none"/>
        </w:rPr>
        <w:fldChar w:fldCharType="end"/>
      </w:r>
      <w:r>
        <w:rPr>
          <w:rFonts w:hint="eastAsia" w:ascii="仿宋" w:hAnsi="仿宋" w:eastAsia="仿宋" w:cs="仿宋"/>
          <w:bCs/>
          <w:sz w:val="24"/>
          <w:lang w:val="en-US" w:eastAsia="zh-CN"/>
        </w:rPr>
        <w:t>11</w:t>
      </w:r>
      <w:r>
        <w:rPr>
          <w:rFonts w:hint="eastAsia" w:ascii="仿宋" w:hAnsi="仿宋" w:eastAsia="仿宋" w:cs="仿宋"/>
          <w:bCs/>
          <w:sz w:val="24"/>
        </w:rPr>
        <w:t>日</w:t>
      </w:r>
      <w:r>
        <w:rPr>
          <w:rFonts w:ascii="仿宋" w:hAnsi="仿宋" w:eastAsia="仿宋" w:cs="仿宋"/>
          <w:bCs/>
          <w:sz w:val="24"/>
        </w:rPr>
        <w:t>1</w:t>
      </w:r>
      <w:r>
        <w:rPr>
          <w:rFonts w:hint="eastAsia" w:ascii="仿宋" w:hAnsi="仿宋" w:eastAsia="仿宋" w:cs="仿宋"/>
          <w:bCs/>
          <w:sz w:val="24"/>
          <w:lang w:val="en-US" w:eastAsia="zh-CN"/>
        </w:rPr>
        <w:t>7</w:t>
      </w:r>
      <w:r>
        <w:rPr>
          <w:rFonts w:hint="eastAsia" w:ascii="仿宋" w:hAnsi="仿宋" w:eastAsia="仿宋" w:cs="仿宋"/>
          <w:bCs/>
          <w:sz w:val="24"/>
        </w:rPr>
        <w:t>时</w:t>
      </w:r>
      <w:r>
        <w:rPr>
          <w:rFonts w:hint="eastAsia" w:ascii="仿宋" w:hAnsi="仿宋" w:eastAsia="仿宋" w:cs="仿宋"/>
          <w:bCs/>
          <w:sz w:val="24"/>
          <w:lang w:val="en-US" w:eastAsia="zh-CN"/>
        </w:rPr>
        <w:t>前</w:t>
      </w:r>
      <w:r>
        <w:rPr>
          <w:rFonts w:hint="eastAsia" w:ascii="仿宋" w:hAnsi="仿宋" w:eastAsia="仿宋" w:cs="仿宋"/>
          <w:bCs/>
          <w:sz w:val="24"/>
        </w:rPr>
        <w:t>通知各投标人。不再集中召开招标答疑会。</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hint="default" w:ascii="仿宋" w:hAnsi="仿宋" w:eastAsia="仿宋" w:cs="仿宋"/>
          <w:color w:val="0000FF"/>
          <w:sz w:val="28"/>
          <w:szCs w:val="28"/>
          <w:highlight w:val="yellow"/>
          <w:lang w:val="en-US"/>
        </w:rPr>
      </w:pPr>
      <w:r>
        <w:rPr>
          <w:rFonts w:hint="eastAsia" w:ascii="仿宋" w:hAnsi="仿宋" w:eastAsia="仿宋" w:cs="仿宋"/>
          <w:sz w:val="24"/>
        </w:rPr>
        <w:t>本</w:t>
      </w:r>
      <w:r>
        <w:rPr>
          <w:rFonts w:hint="eastAsia" w:ascii="仿宋" w:hAnsi="仿宋" w:eastAsia="仿宋" w:cs="仿宋"/>
          <w:sz w:val="24"/>
          <w:szCs w:val="24"/>
        </w:rPr>
        <w:t>项目设置</w:t>
      </w:r>
      <w:r>
        <w:rPr>
          <w:rFonts w:hint="eastAsia" w:ascii="仿宋" w:hAnsi="仿宋" w:eastAsia="仿宋" w:cs="仿宋"/>
          <w:sz w:val="24"/>
          <w:szCs w:val="24"/>
          <w:lang w:val="en-US" w:eastAsia="zh-CN"/>
        </w:rPr>
        <w:t>最高限</w:t>
      </w:r>
      <w:r>
        <w:rPr>
          <w:rFonts w:hint="eastAsia" w:ascii="仿宋" w:hAnsi="仿宋" w:eastAsia="仿宋" w:cs="仿宋"/>
          <w:sz w:val="24"/>
          <w:szCs w:val="24"/>
        </w:rPr>
        <w:t>价：</w:t>
      </w:r>
      <w:r>
        <w:rPr>
          <w:rFonts w:hint="eastAsia" w:ascii="仿宋" w:hAnsi="仿宋" w:eastAsia="仿宋" w:cs="仿宋"/>
          <w:sz w:val="24"/>
          <w:szCs w:val="24"/>
          <w:highlight w:val="none"/>
        </w:rPr>
        <w:t>基本费率</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‰；审核成果费率1.50%</w:t>
      </w:r>
      <w:r>
        <w:rPr>
          <w:rFonts w:hint="eastAsia" w:ascii="仿宋" w:hAnsi="仿宋" w:eastAsia="仿宋" w:cs="仿宋"/>
          <w:sz w:val="24"/>
          <w:szCs w:val="24"/>
        </w:rPr>
        <w:t>，投标单位投标报价不得高于招标人发布的最高投标限价，否则按无效标处理。对审减率超过5%的工程项目，超过部分应支付的审计费用由施工单位承担</w:t>
      </w:r>
      <w:r>
        <w:rPr>
          <w:rFonts w:hint="eastAsia" w:ascii="仿宋" w:hAnsi="仿宋" w:eastAsia="仿宋" w:cs="仿宋"/>
          <w:sz w:val="24"/>
          <w:szCs w:val="24"/>
          <w:lang w:eastAsia="zh-CN"/>
        </w:rPr>
        <w:t>。</w:t>
      </w:r>
      <w:bookmarkStart w:id="15" w:name="_Toc24852"/>
      <w:r>
        <w:rPr>
          <w:rFonts w:hint="eastAsia" w:ascii="仿宋" w:hAnsi="仿宋" w:eastAsia="仿宋" w:cs="仿宋"/>
          <w:color w:val="0000FF"/>
          <w:sz w:val="24"/>
          <w:szCs w:val="24"/>
          <w:highlight w:val="none"/>
          <w:lang w:val="en-US" w:eastAsia="zh-CN"/>
        </w:rPr>
        <w:t>投标报价时只竞争基本费，审核成果费费率为固定费率，不可竞争。</w:t>
      </w:r>
    </w:p>
    <w:p>
      <w:pPr>
        <w:spacing w:line="400" w:lineRule="exact"/>
        <w:jc w:val="center"/>
        <w:outlineLvl w:val="1"/>
        <w:rPr>
          <w:rFonts w:hint="eastAsia" w:ascii="仿宋" w:hAnsi="仿宋" w:eastAsia="仿宋" w:cs="仿宋"/>
          <w:sz w:val="28"/>
          <w:szCs w:val="28"/>
        </w:rPr>
      </w:pPr>
    </w:p>
    <w:p>
      <w:pPr>
        <w:spacing w:line="400" w:lineRule="exact"/>
        <w:jc w:val="center"/>
        <w:outlineLvl w:val="1"/>
        <w:rPr>
          <w:rFonts w:ascii="仿宋" w:hAnsi="仿宋" w:eastAsia="仿宋" w:cs="仿宋"/>
          <w:sz w:val="28"/>
          <w:szCs w:val="28"/>
        </w:rPr>
      </w:pPr>
      <w:r>
        <w:rPr>
          <w:rFonts w:hint="eastAsia" w:ascii="仿宋" w:hAnsi="仿宋" w:eastAsia="仿宋" w:cs="仿宋"/>
          <w:sz w:val="28"/>
          <w:szCs w:val="28"/>
        </w:rPr>
        <w:t>三、投标文件的编制</w:t>
      </w:r>
      <w:bookmarkEnd w:id="15"/>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人，需具有造价师或造价员证书</w:t>
      </w:r>
      <w:r>
        <w:rPr>
          <w:rFonts w:hint="eastAsia" w:ascii="仿宋" w:hAnsi="仿宋" w:eastAsia="仿宋" w:cs="仿宋"/>
          <w:sz w:val="24"/>
          <w:highlight w:val="none"/>
          <w:lang w:eastAsia="zh-CN"/>
        </w:rPr>
        <w:t>，</w:t>
      </w:r>
      <w:r>
        <w:rPr>
          <w:rFonts w:hint="eastAsia" w:ascii="仿宋" w:hAnsi="仿宋" w:eastAsia="仿宋" w:cs="仿宋"/>
          <w:sz w:val="24"/>
          <w:highlight w:val="none"/>
        </w:rPr>
        <w:t>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16" w:name="_Toc27519"/>
      <w:r>
        <w:rPr>
          <w:rFonts w:hint="eastAsia" w:ascii="仿宋" w:hAnsi="仿宋" w:eastAsia="仿宋" w:cs="仿宋"/>
          <w:sz w:val="28"/>
          <w:szCs w:val="28"/>
        </w:rPr>
        <w:t>四、投标文件的密封和递交</w:t>
      </w:r>
      <w:bookmarkEnd w:id="16"/>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17" w:name="_Toc18173"/>
      <w:r>
        <w:rPr>
          <w:rFonts w:hint="eastAsia" w:ascii="仿宋" w:hAnsi="仿宋" w:eastAsia="仿宋" w:cs="仿宋"/>
          <w:sz w:val="28"/>
          <w:szCs w:val="28"/>
        </w:rPr>
        <w:t>五、开标、评标和定标</w:t>
      </w:r>
      <w:bookmarkEnd w:id="17"/>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④经确认无误后，有关工作人员当众拆封，宣读投标人名称和投标文件的主要内容；</w:t>
      </w:r>
    </w:p>
    <w:p>
      <w:pPr>
        <w:spacing w:line="440" w:lineRule="exact"/>
        <w:rPr>
          <w:rFonts w:hint="eastAsia"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w:t>
      </w:r>
      <w:r>
        <w:rPr>
          <w:rFonts w:hint="eastAsia" w:ascii="仿宋" w:hAnsi="仿宋" w:eastAsia="仿宋" w:cs="仿宋"/>
          <w:b/>
          <w:bCs/>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⑥代理公司对开标过程进行记录，并存档备查。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18" w:name="_Toc21491"/>
      <w:r>
        <w:rPr>
          <w:rFonts w:hint="eastAsia" w:ascii="仿宋" w:hAnsi="仿宋" w:eastAsia="仿宋" w:cs="仿宋"/>
          <w:b/>
          <w:bCs/>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sz w:val="24"/>
        </w:rPr>
        <w:t>。</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18"/>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19" w:name="_Toc12737"/>
      <w:bookmarkStart w:id="20" w:name="_Toc3222"/>
      <w:bookmarkStart w:id="21" w:name="_Toc31589_WPSOffice_Level1"/>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19"/>
      <w:bookmarkEnd w:id="20"/>
      <w:bookmarkEnd w:id="21"/>
    </w:p>
    <w:p>
      <w:pPr>
        <w:spacing w:line="360" w:lineRule="auto"/>
        <w:jc w:val="center"/>
        <w:rPr>
          <w:rFonts w:hint="eastAsia" w:ascii="宋体" w:cs="宋体"/>
          <w:b/>
          <w:color w:val="auto"/>
          <w:kern w:val="0"/>
          <w:sz w:val="28"/>
          <w:szCs w:val="28"/>
          <w:highlight w:val="none"/>
        </w:rPr>
      </w:pPr>
      <w:r>
        <w:rPr>
          <w:rFonts w:hint="eastAsia" w:ascii="宋体" w:cs="宋体"/>
          <w:b/>
          <w:color w:val="auto"/>
          <w:kern w:val="0"/>
          <w:sz w:val="28"/>
          <w:szCs w:val="28"/>
          <w:highlight w:val="none"/>
        </w:rPr>
        <w:t>审计委托协议</w:t>
      </w:r>
    </w:p>
    <w:p>
      <w:pPr>
        <w:keepNext w:val="0"/>
        <w:keepLines w:val="0"/>
        <w:pageBreakBefore w:val="0"/>
        <w:kinsoku/>
        <w:overflowPunct/>
        <w:topLinePunct w:val="0"/>
        <w:autoSpaceDE/>
        <w:autoSpaceDN/>
        <w:bidi w:val="0"/>
        <w:adjustRightInd w:val="0"/>
        <w:snapToGrid w:val="0"/>
        <w:spacing w:line="312" w:lineRule="auto"/>
        <w:textAlignment w:val="auto"/>
        <w:rPr>
          <w:rFonts w:hint="eastAsia" w:ascii="宋体" w:cs="宋体"/>
          <w:color w:val="auto"/>
          <w:kern w:val="0"/>
          <w:sz w:val="24"/>
          <w:szCs w:val="24"/>
          <w:highlight w:val="none"/>
          <w:u w:val="single"/>
          <w:lang w:val="en-US" w:eastAsia="zh-CN"/>
        </w:rPr>
      </w:pPr>
      <w:r>
        <w:rPr>
          <w:rFonts w:hint="eastAsia" w:ascii="宋体" w:cs="宋体"/>
          <w:color w:val="auto"/>
          <w:kern w:val="0"/>
          <w:sz w:val="24"/>
          <w:szCs w:val="24"/>
          <w:highlight w:val="none"/>
        </w:rPr>
        <w:t>委托方（甲方）：</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adjustRightInd w:val="0"/>
        <w:snapToGrid w:val="0"/>
        <w:spacing w:line="312" w:lineRule="auto"/>
        <w:textAlignment w:val="auto"/>
        <w:rPr>
          <w:rFonts w:hint="default" w:ascii="宋体" w:eastAsia="宋体" w:cs="宋体"/>
          <w:color w:val="auto"/>
          <w:kern w:val="0"/>
          <w:sz w:val="24"/>
          <w:szCs w:val="24"/>
          <w:highlight w:val="none"/>
          <w:lang w:val="en-US" w:eastAsia="zh-CN"/>
        </w:rPr>
      </w:pPr>
      <w:r>
        <w:rPr>
          <w:rFonts w:hint="eastAsia" w:ascii="宋体" w:cs="宋体"/>
          <w:color w:val="auto"/>
          <w:kern w:val="0"/>
          <w:sz w:val="24"/>
          <w:szCs w:val="24"/>
          <w:highlight w:val="none"/>
        </w:rPr>
        <w:t>受托方（乙方）：</w:t>
      </w:r>
      <w:r>
        <w:rPr>
          <w:rFonts w:hint="eastAsia" w:ascii="宋体" w:cs="宋体"/>
          <w:color w:val="auto"/>
          <w:kern w:val="0"/>
          <w:sz w:val="24"/>
          <w:szCs w:val="24"/>
          <w:highlight w:val="none"/>
          <w:u w:val="single"/>
        </w:rPr>
        <w:t xml:space="preserve">    </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为保证滁州市政府投资项目审计工作质量和效率，依据《中华人民共和国审计法》、《中华人民共和国</w:t>
      </w:r>
      <w:r>
        <w:rPr>
          <w:rFonts w:hint="eastAsia" w:ascii="宋体" w:cs="宋体"/>
          <w:color w:val="auto"/>
          <w:kern w:val="0"/>
          <w:sz w:val="24"/>
          <w:szCs w:val="24"/>
          <w:highlight w:val="none"/>
          <w:lang w:val="en-US" w:eastAsia="zh-CN"/>
        </w:rPr>
        <w:t>民法典</w:t>
      </w:r>
      <w:r>
        <w:rPr>
          <w:rFonts w:hint="eastAsia" w:ascii="宋体" w:cs="宋体"/>
          <w:color w:val="auto"/>
          <w:kern w:val="0"/>
          <w:sz w:val="24"/>
          <w:szCs w:val="24"/>
          <w:highlight w:val="none"/>
        </w:rPr>
        <w:t>》、《滁州市政府投资项目管理暂行办法》、《滁州市政府投资建设项目审计监督办法》等有关法律法规，甲、乙双方经协商一致，自愿签订本协议。</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s="宋体"/>
          <w:b/>
          <w:bCs/>
          <w:color w:val="auto"/>
          <w:kern w:val="0"/>
          <w:sz w:val="24"/>
          <w:szCs w:val="24"/>
          <w:highlight w:val="none"/>
        </w:rPr>
      </w:pPr>
      <w:r>
        <w:rPr>
          <w:rFonts w:hint="eastAsia" w:ascii="宋体" w:cs="宋体"/>
          <w:b/>
          <w:bCs/>
          <w:color w:val="auto"/>
          <w:kern w:val="0"/>
          <w:sz w:val="24"/>
          <w:szCs w:val="24"/>
          <w:highlight w:val="none"/>
        </w:rPr>
        <w:t>一、跟踪（结算）审计项目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eastAsia="宋体" w:cs="宋体"/>
          <w:color w:val="auto"/>
          <w:kern w:val="0"/>
          <w:sz w:val="24"/>
          <w:szCs w:val="24"/>
          <w:highlight w:val="none"/>
          <w:lang w:eastAsia="zh-CN"/>
        </w:rPr>
      </w:pPr>
      <w:r>
        <w:rPr>
          <w:rFonts w:hint="eastAsia" w:ascii="宋体" w:cs="宋体"/>
          <w:color w:val="auto"/>
          <w:kern w:val="0"/>
          <w:sz w:val="24"/>
          <w:szCs w:val="24"/>
          <w:highlight w:val="none"/>
        </w:rPr>
        <w:t>1.项目名称：</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default" w:ascii="宋体" w:cs="宋体"/>
          <w:color w:val="auto"/>
          <w:kern w:val="0"/>
          <w:sz w:val="24"/>
          <w:szCs w:val="24"/>
          <w:highlight w:val="none"/>
          <w:lang w:val="en-US" w:eastAsia="zh-CN"/>
        </w:rPr>
      </w:pPr>
      <w:r>
        <w:rPr>
          <w:rFonts w:hint="eastAsia" w:ascii="宋体" w:cs="宋体"/>
          <w:color w:val="auto"/>
          <w:kern w:val="0"/>
          <w:sz w:val="24"/>
          <w:szCs w:val="24"/>
          <w:highlight w:val="none"/>
        </w:rPr>
        <w:t>2.项目投资额：</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3.委托内容：跟踪审计</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1</w:t>
      </w:r>
      <w:r>
        <w:rPr>
          <w:rFonts w:hint="eastAsia" w:ascii="宋体"/>
          <w:color w:val="auto"/>
          <w:sz w:val="24"/>
          <w:szCs w:val="24"/>
          <w:highlight w:val="none"/>
          <w:lang w:eastAsia="zh-CN"/>
        </w:rPr>
        <w:t>）</w:t>
      </w:r>
      <w:r>
        <w:rPr>
          <w:rFonts w:hint="eastAsia" w:ascii="宋体"/>
          <w:color w:val="auto"/>
          <w:sz w:val="24"/>
          <w:szCs w:val="24"/>
          <w:highlight w:val="none"/>
        </w:rPr>
        <w:t xml:space="preserve">成立项目跟踪（结算）审计组，编制跟踪（结算）审计实施方案，确定投资控制目标、重点环节及应对措施；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2</w:t>
      </w:r>
      <w:r>
        <w:rPr>
          <w:rFonts w:hint="eastAsia" w:ascii="宋体"/>
          <w:color w:val="auto"/>
          <w:sz w:val="24"/>
          <w:szCs w:val="24"/>
          <w:highlight w:val="none"/>
          <w:lang w:eastAsia="zh-CN"/>
        </w:rPr>
        <w:t>）</w:t>
      </w:r>
      <w:r>
        <w:rPr>
          <w:rFonts w:hint="eastAsia" w:ascii="宋体"/>
          <w:color w:val="auto"/>
          <w:sz w:val="24"/>
          <w:szCs w:val="24"/>
          <w:highlight w:val="none"/>
        </w:rPr>
        <w:t>审核项目前期资料（图纸、工程量清单及控制价、招标投标文件、施工合同等），向甲方提交审核结果；</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3</w:t>
      </w:r>
      <w:r>
        <w:rPr>
          <w:rFonts w:hint="eastAsia" w:ascii="宋体"/>
          <w:color w:val="auto"/>
          <w:sz w:val="24"/>
          <w:szCs w:val="24"/>
          <w:highlight w:val="none"/>
          <w:lang w:eastAsia="zh-CN"/>
        </w:rPr>
        <w:t>）</w:t>
      </w:r>
      <w:r>
        <w:rPr>
          <w:rFonts w:hint="eastAsia" w:ascii="宋体"/>
          <w:color w:val="auto"/>
          <w:sz w:val="24"/>
          <w:szCs w:val="24"/>
          <w:highlight w:val="none"/>
        </w:rPr>
        <w:t>对承包方上报的请款期已完成合格工程量的计量、计价进行审核，并提供按工程形象进度付款的意见、建议；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4</w:t>
      </w:r>
      <w:r>
        <w:rPr>
          <w:rFonts w:hint="eastAsia" w:ascii="宋体"/>
          <w:color w:val="auto"/>
          <w:sz w:val="24"/>
          <w:szCs w:val="24"/>
          <w:highlight w:val="none"/>
          <w:lang w:eastAsia="zh-CN"/>
        </w:rPr>
        <w:t>）</w:t>
      </w:r>
      <w:r>
        <w:rPr>
          <w:rFonts w:hint="eastAsia" w:ascii="宋体"/>
          <w:color w:val="auto"/>
          <w:sz w:val="24"/>
          <w:szCs w:val="24"/>
          <w:highlight w:val="none"/>
        </w:rPr>
        <w:t>及时核定分阶段完工的项目分部、分项工程价款结算，项目竣工后，及时提交完整的竣工结算审核报告；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5</w:t>
      </w:r>
      <w:r>
        <w:rPr>
          <w:rFonts w:hint="eastAsia" w:ascii="宋体"/>
          <w:color w:val="auto"/>
          <w:sz w:val="24"/>
          <w:szCs w:val="24"/>
          <w:highlight w:val="none"/>
          <w:lang w:eastAsia="zh-CN"/>
        </w:rPr>
        <w:t>）</w:t>
      </w:r>
      <w:r>
        <w:rPr>
          <w:rFonts w:hint="eastAsia" w:ascii="宋体"/>
          <w:color w:val="auto"/>
          <w:sz w:val="24"/>
          <w:szCs w:val="24"/>
          <w:highlight w:val="none"/>
        </w:rPr>
        <w:t>协助甲方及时审核设计变更、经济签证等发生的费用，超过一定限额的，提请甲方履行报批程序；</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6</w:t>
      </w:r>
      <w:r>
        <w:rPr>
          <w:rFonts w:hint="eastAsia" w:ascii="宋体"/>
          <w:color w:val="auto"/>
          <w:sz w:val="24"/>
          <w:szCs w:val="24"/>
          <w:highlight w:val="none"/>
          <w:lang w:eastAsia="zh-CN"/>
        </w:rPr>
        <w:t>）</w:t>
      </w:r>
      <w:r>
        <w:rPr>
          <w:rFonts w:hint="eastAsia" w:ascii="宋体"/>
          <w:color w:val="auto"/>
          <w:sz w:val="24"/>
          <w:szCs w:val="24"/>
          <w:highlight w:val="none"/>
        </w:rPr>
        <w:t>项目承、发包方发生工程价款结算争议时，为甲方提供咨询意见；</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7</w:t>
      </w:r>
      <w:r>
        <w:rPr>
          <w:rFonts w:hint="eastAsia" w:ascii="宋体"/>
          <w:color w:val="auto"/>
          <w:sz w:val="24"/>
          <w:szCs w:val="24"/>
          <w:highlight w:val="none"/>
          <w:lang w:eastAsia="zh-CN"/>
        </w:rPr>
        <w:t>）</w:t>
      </w:r>
      <w:r>
        <w:rPr>
          <w:rFonts w:hint="eastAsia" w:ascii="宋体"/>
          <w:color w:val="auto"/>
          <w:sz w:val="24"/>
          <w:szCs w:val="24"/>
          <w:highlight w:val="none"/>
        </w:rPr>
        <w:t xml:space="preserve">参与项目建设管理的有关会议，对项目投资控制的有关事项发表独立审计意见；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8</w:t>
      </w:r>
      <w:r>
        <w:rPr>
          <w:rFonts w:hint="eastAsia" w:ascii="宋体"/>
          <w:color w:val="auto"/>
          <w:sz w:val="24"/>
          <w:szCs w:val="24"/>
          <w:highlight w:val="none"/>
          <w:lang w:eastAsia="zh-CN"/>
        </w:rPr>
        <w:t>）</w:t>
      </w:r>
      <w:r>
        <w:rPr>
          <w:rFonts w:hint="eastAsia" w:ascii="宋体"/>
          <w:color w:val="auto"/>
          <w:sz w:val="24"/>
          <w:szCs w:val="24"/>
          <w:highlight w:val="none"/>
        </w:rPr>
        <w:t>其他与项目投资控制相关的工作。</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二</w:t>
      </w:r>
      <w:r>
        <w:rPr>
          <w:rFonts w:hint="eastAsia" w:ascii="宋体" w:cs="宋体"/>
          <w:b/>
          <w:bCs/>
          <w:color w:val="auto"/>
          <w:kern w:val="0"/>
          <w:sz w:val="24"/>
          <w:szCs w:val="24"/>
          <w:highlight w:val="none"/>
        </w:rPr>
        <w:t>、项目跟踪（结算）审计制度及相关要求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1.滁州市政府投资项目审计“八不准制度”；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2.滁州市政府投资项目竣工结算审计结果备案制度；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3.滁州市建设项目施工阶段全过程造价控制管理暂行办法；</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4.实行定期、分段报告制度。乙方应及时提交项目前期资料审核结果、跟踪（结算）审计月报、竣工结算审核报告；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5.加强对项目变更事项的合理性、经济性审核。对涉及工程造价的重大事项（如工程造价</w:t>
      </w:r>
      <w:r>
        <w:rPr>
          <w:rFonts w:hint="eastAsia" w:ascii="宋体"/>
          <w:color w:val="auto"/>
          <w:sz w:val="24"/>
          <w:szCs w:val="24"/>
          <w:highlight w:val="none"/>
          <w:lang w:val="en-US" w:eastAsia="zh-CN"/>
        </w:rPr>
        <w:t>达到业主制度</w:t>
      </w:r>
      <w:r>
        <w:rPr>
          <w:rFonts w:hint="eastAsia" w:ascii="宋体"/>
          <w:color w:val="auto"/>
          <w:sz w:val="24"/>
          <w:szCs w:val="24"/>
          <w:highlight w:val="none"/>
        </w:rPr>
        <w:t>的变更事项和设备、材料询价采购等）须及时书面报告甲方，否则项目竣工结算不予审核备案，由此造成的后果由乙方承担；</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6.协助甲方完成项目投资控制的各项工作，接受甲方的项目现场管理。</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三、项目跟踪审计组及人员配备要求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1.乙方须成立项目跟踪审计组，配备相应数量具有相关专业执业资质的审计人员（须为备选库入库人员）。本项目审计组负责人为</w:t>
      </w:r>
      <w:r>
        <w:rPr>
          <w:rFonts w:hint="eastAsia" w:ascii="宋体"/>
          <w:color w:val="auto"/>
          <w:sz w:val="24"/>
          <w:szCs w:val="24"/>
          <w:highlight w:val="none"/>
          <w:u w:val="single"/>
        </w:rPr>
        <w:t>姓名、注册造价师证书号、联系电话</w:t>
      </w:r>
      <w:r>
        <w:rPr>
          <w:rFonts w:hint="eastAsia" w:ascii="宋体"/>
          <w:color w:val="auto"/>
          <w:sz w:val="24"/>
          <w:szCs w:val="24"/>
          <w:highlight w:val="none"/>
        </w:rPr>
        <w:t>，成员为</w:t>
      </w:r>
      <w:r>
        <w:rPr>
          <w:rFonts w:hint="eastAsia" w:ascii="宋体"/>
          <w:color w:val="auto"/>
          <w:sz w:val="24"/>
          <w:szCs w:val="24"/>
          <w:highlight w:val="none"/>
          <w:u w:val="single"/>
        </w:rPr>
        <w:t>姓名、</w:t>
      </w:r>
      <w:r>
        <w:rPr>
          <w:rFonts w:hint="eastAsia" w:ascii="宋体"/>
          <w:color w:val="auto"/>
          <w:sz w:val="24"/>
          <w:szCs w:val="24"/>
          <w:highlight w:val="none"/>
          <w:u w:val="single"/>
          <w:lang w:val="en-US" w:eastAsia="zh-CN"/>
        </w:rPr>
        <w:t>造价师</w:t>
      </w:r>
      <w:r>
        <w:rPr>
          <w:rFonts w:hint="eastAsia" w:ascii="宋体"/>
          <w:color w:val="auto"/>
          <w:sz w:val="24"/>
          <w:szCs w:val="24"/>
          <w:highlight w:val="none"/>
          <w:u w:val="single"/>
        </w:rPr>
        <w:t>证书号、联系电话（现场负责人）</w:t>
      </w:r>
      <w:r>
        <w:rPr>
          <w:rFonts w:hint="eastAsia" w:ascii="宋体"/>
          <w:color w:val="auto"/>
          <w:sz w:val="24"/>
          <w:szCs w:val="24"/>
          <w:highlight w:val="none"/>
        </w:rPr>
        <w:t>；</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2.项目审计人员须服从甲方的工作安排，未经甲方许可，乙方不得随意更换、调整审计组人员。</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hAnsi="Times New Roman" w:eastAsia="宋体" w:cs="宋体"/>
          <w:b/>
          <w:bCs/>
          <w:color w:val="auto"/>
          <w:kern w:val="0"/>
          <w:sz w:val="24"/>
          <w:szCs w:val="24"/>
          <w:highlight w:val="none"/>
          <w:lang w:val="en-US" w:eastAsia="zh-CN" w:bidi="ar-SA"/>
        </w:rPr>
        <w:t>四</w:t>
      </w:r>
      <w:r>
        <w:rPr>
          <w:rFonts w:hint="eastAsia" w:ascii="宋体" w:hAnsi="Times New Roman" w:eastAsia="宋体" w:cs="宋体"/>
          <w:b/>
          <w:bCs/>
          <w:color w:val="auto"/>
          <w:kern w:val="0"/>
          <w:sz w:val="24"/>
          <w:szCs w:val="24"/>
          <w:highlight w:val="none"/>
          <w:lang w:val="en-US" w:eastAsia="zh-CN" w:bidi="ar-SA"/>
        </w:rPr>
        <w:t>、项目跟踪（结算）审计质量要求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1.项目跟踪审计、结算审核服务费的误差违约金处罚根据第三方复审、</w:t>
      </w:r>
      <w:r>
        <w:rPr>
          <w:rFonts w:hint="eastAsia" w:cs="Times New Roman"/>
          <w:color w:val="auto"/>
          <w:kern w:val="2"/>
          <w:sz w:val="24"/>
          <w:szCs w:val="24"/>
          <w:highlight w:val="none"/>
          <w:lang w:val="en-US" w:eastAsia="zh-CN"/>
        </w:rPr>
        <w:t>业主</w:t>
      </w:r>
      <w:r>
        <w:rPr>
          <w:rFonts w:hint="eastAsia" w:eastAsia="宋体" w:cs="Times New Roman"/>
          <w:color w:val="auto"/>
          <w:kern w:val="2"/>
          <w:sz w:val="24"/>
          <w:szCs w:val="24"/>
          <w:highlight w:val="none"/>
        </w:rPr>
        <w:t>复核或市财政工程造价审核中心的审核结果确定：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（一）审核结果误差在1%-2%（含）之间，以服务费的25%作为违约金；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（二）审核结果误差在2%-3%（含）之间，以服务费的50%作为违约金；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（三）审核结果误差在3%-4%（含）之间，以服务费的75%作为违约金；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（四）审核结果误差超过4%的, 以全额服务费作为违约金。同时，工程造价 1000-5000 万元项目，暂停业务6个月；工程造价 5000 万元以上项目，暂停业务12个月。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2.若乙方存在转包、违法分包等行为的，无证人员执业、挂靠执业、执业人员不到岗等违反相关法规的，将按相关法规进行处罚，终止委托业务。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五、项目跟踪（结算）审计服务费用标准及结算方式</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1.项目跟踪（结算）审计服务费用标准</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cs="Times New Roman"/>
          <w:color w:val="auto"/>
          <w:kern w:val="2"/>
          <w:sz w:val="24"/>
          <w:szCs w:val="24"/>
          <w:highlight w:val="none"/>
          <w:lang w:val="en-US" w:eastAsia="zh-CN"/>
        </w:rPr>
      </w:pPr>
      <w:r>
        <w:rPr>
          <w:rFonts w:hint="eastAsia" w:eastAsia="宋体" w:cs="Times New Roman"/>
          <w:color w:val="auto"/>
          <w:kern w:val="2"/>
          <w:sz w:val="24"/>
          <w:szCs w:val="24"/>
          <w:highlight w:val="none"/>
        </w:rPr>
        <w:t>1.1计费标准：审计服务费用按照基本费用加审核成果费用计取</w:t>
      </w:r>
      <w:r>
        <w:rPr>
          <w:rFonts w:hint="eastAsia" w:cs="Times New Roman"/>
          <w:color w:val="auto"/>
          <w:kern w:val="2"/>
          <w:sz w:val="24"/>
          <w:szCs w:val="24"/>
          <w:highlight w:val="none"/>
          <w:lang w:eastAsia="zh-CN"/>
        </w:rPr>
        <w:t>：</w:t>
      </w:r>
      <w:r>
        <w:rPr>
          <w:rFonts w:hint="eastAsia" w:cs="Times New Roman"/>
          <w:color w:val="auto"/>
          <w:kern w:val="2"/>
          <w:sz w:val="24"/>
          <w:szCs w:val="24"/>
          <w:highlight w:val="none"/>
          <w:u w:val="single"/>
          <w:lang w:val="en-US" w:eastAsia="zh-CN"/>
        </w:rPr>
        <w:t xml:space="preserve">       </w:t>
      </w:r>
      <w:r>
        <w:rPr>
          <w:rFonts w:hint="eastAsia" w:cs="Times New Roman"/>
          <w:color w:val="auto"/>
          <w:kern w:val="2"/>
          <w:sz w:val="24"/>
          <w:szCs w:val="24"/>
          <w:highlight w:val="none"/>
          <w:lang w:val="en-US" w:eastAsia="zh-CN"/>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注：</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1</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服务费计算方式为：基本费+审核成果费。其中，跟踪审计服务基本费计算基数为审定金额；审核成果费计算基数为独立核减金额。对审减率超过10%的工程项目，超过部分应支付的审计费用，由施工单位承担。根据滁规建管办字【2023】3号文件《关于规范建设项目工程造价控制与审核费用的通知》的规定，工程造价审减率超过5%时，施工单位承担审减率超出5%以上的核减额的5%，项目结算付款单位根据审计结果从工程待结价款中扣除或以违约金形式缴纳至招标人处</w:t>
      </w:r>
      <w:r>
        <w:rPr>
          <w:rFonts w:hint="eastAsia" w:cs="Times New Roman"/>
          <w:color w:val="auto"/>
          <w:kern w:val="2"/>
          <w:sz w:val="24"/>
          <w:szCs w:val="24"/>
          <w:highlight w:val="none"/>
          <w:lang w:eastAsia="zh-CN"/>
        </w:rPr>
        <w:t>。</w:t>
      </w:r>
    </w:p>
    <w:p>
      <w:pPr>
        <w:pStyle w:val="42"/>
        <w:keepNext w:val="0"/>
        <w:keepLines w:val="0"/>
        <w:pageBreakBefore w:val="0"/>
        <w:numPr>
          <w:ilvl w:val="0"/>
          <w:numId w:val="0"/>
        </w:numPr>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2.项目跟踪（结算）审计费用结算方式</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b/>
          <w:bCs/>
          <w:color w:val="auto"/>
          <w:kern w:val="2"/>
          <w:sz w:val="24"/>
          <w:szCs w:val="24"/>
          <w:highlight w:val="none"/>
          <w:lang w:val="en-US" w:eastAsia="zh-CN"/>
        </w:rPr>
      </w:pPr>
      <w:r>
        <w:rPr>
          <w:rFonts w:hint="eastAsia" w:eastAsia="宋体" w:cs="Times New Roman"/>
          <w:color w:val="auto"/>
          <w:kern w:val="2"/>
          <w:sz w:val="24"/>
          <w:szCs w:val="24"/>
          <w:highlight w:val="none"/>
        </w:rPr>
        <w:t>（1）项目协审机构须按照《建设工程价款结算暂行办法》（财建﹝2004﹞369 号）规定的时限内完成该项目协审工作，出具审核报告，交付建设单位初审确认，报经招标人备案审查通过后，按照招标人审查备案金额结算支付审计服务费用</w:t>
      </w:r>
      <w:r>
        <w:rPr>
          <w:rFonts w:hint="eastAsia" w:eastAsia="宋体" w:cs="Times New Roman"/>
          <w:color w:val="auto"/>
          <w:kern w:val="2"/>
          <w:sz w:val="24"/>
          <w:szCs w:val="24"/>
          <w:highlight w:val="none"/>
          <w:lang w:eastAsia="zh-CN"/>
        </w:rPr>
        <w:t>。</w:t>
      </w:r>
      <w:r>
        <w:rPr>
          <w:rFonts w:hint="eastAsia" w:eastAsia="宋体" w:cs="Times New Roman"/>
          <w:b/>
          <w:bCs/>
          <w:color w:val="auto"/>
          <w:kern w:val="2"/>
          <w:sz w:val="24"/>
          <w:szCs w:val="24"/>
          <w:highlight w:val="none"/>
          <w:lang w:val="en-US" w:eastAsia="zh-CN"/>
        </w:rPr>
        <w:t xml:space="preserve">      </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（2）项目协审机构未按要求完成协审工作并移交相关资料，招标人有权拒付审计服务费用，并按照《政府投资项目协审机构审计质量考核办法》有关规定追究该项目协审机</w:t>
      </w:r>
      <w:r>
        <w:rPr>
          <w:rFonts w:hint="eastAsia" w:eastAsia="宋体" w:cs="Times New Roman"/>
          <w:color w:val="auto"/>
          <w:kern w:val="2"/>
          <w:sz w:val="24"/>
          <w:szCs w:val="24"/>
          <w:highlight w:val="none"/>
          <w:lang w:eastAsia="zh-CN"/>
        </w:rPr>
        <w:t>构相关责任。</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（3）在结算跟踪（结算）审计相应费用时，不与分公司结算。</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default"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（4）项目跟踪（结</w:t>
      </w:r>
      <w:r>
        <w:rPr>
          <w:rFonts w:hint="eastAsia" w:eastAsia="宋体" w:cs="Times New Roman"/>
          <w:color w:val="auto"/>
          <w:kern w:val="2"/>
          <w:sz w:val="24"/>
          <w:szCs w:val="24"/>
          <w:highlight w:val="none"/>
        </w:rPr>
        <w:t>算）审计费用</w:t>
      </w:r>
      <w:r>
        <w:rPr>
          <w:rFonts w:hint="eastAsia" w:eastAsia="宋体" w:cs="Times New Roman"/>
          <w:color w:val="auto"/>
          <w:kern w:val="2"/>
          <w:sz w:val="24"/>
          <w:szCs w:val="24"/>
          <w:highlight w:val="none"/>
          <w:lang w:val="en-US" w:eastAsia="zh-CN"/>
        </w:rPr>
        <w:t>最终结算时不得超过60万元，</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六、审计质量、时限及过程管理要求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应及时认真地分析阅读工程量清单及控制价、招投标文件、合同（协议）、施工图纸、设计变更、技术签证等相关文件资料，在施工现场勘察测量和了解实际情况并做好记录。协审机构应根据建设单位、监理单位、施工单位提供的有关资料在《建设工程价款结算暂行办法》（财建﹝2004﹞369 号）文件规定的工作日内完成审核工作，不得无故拖延时间。</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协审机构在协审过程须遵守招标人制定的各项规定。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eastAsia="宋体" w:cs="Times New Roman"/>
          <w:b/>
          <w:bCs/>
          <w:color w:val="auto"/>
          <w:kern w:val="2"/>
          <w:sz w:val="24"/>
          <w:szCs w:val="24"/>
          <w:highlight w:val="none"/>
          <w:lang w:val="en-US" w:eastAsia="zh-CN"/>
        </w:rPr>
        <w:t>七</w:t>
      </w:r>
      <w:r>
        <w:rPr>
          <w:rFonts w:hint="eastAsia" w:eastAsia="宋体" w:cs="Times New Roman"/>
          <w:b/>
          <w:bCs/>
          <w:color w:val="auto"/>
          <w:kern w:val="2"/>
          <w:sz w:val="24"/>
          <w:szCs w:val="24"/>
          <w:highlight w:val="none"/>
        </w:rPr>
        <w:t>、甲乙双方的权利和义务</w:t>
      </w:r>
      <w:r>
        <w:rPr>
          <w:rFonts w:hint="eastAsia" w:eastAsia="宋体" w:cs="Times New Roman"/>
          <w:color w:val="auto"/>
          <w:kern w:val="2"/>
          <w:sz w:val="24"/>
          <w:szCs w:val="24"/>
          <w:highlight w:val="none"/>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1.甲方权利和义务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（1）甲方有权对乙方的跟踪（结算）审计项目实施监督，配合市跟审办对乙方审计工作程序、质量和效率等进行检查考核，考核结果作为奖惩和参与政府投资项目跟踪（结算）审计的重要依据；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（2）项目跟踪（结算）审计过程中，甲方如发现乙方所派审计人员不符合要求或不能胜任岗位工作职责的，甲方有权要求乙方及时调换，</w:t>
      </w:r>
    </w:p>
    <w:p>
      <w:pPr>
        <w:pStyle w:val="42"/>
        <w:keepNext w:val="0"/>
        <w:keepLines w:val="0"/>
        <w:pageBreakBefore w:val="0"/>
        <w:kinsoku/>
        <w:overflowPunct/>
        <w:topLinePunct w:val="0"/>
        <w:autoSpaceDE/>
        <w:autoSpaceDN/>
        <w:bidi w:val="0"/>
        <w:snapToGrid w:val="0"/>
        <w:spacing w:before="0" w:beforeAutospacing="0" w:after="0" w:afterAutospacing="0" w:line="312" w:lineRule="auto"/>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或视情况给予相应的处理、处罚；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（3）甲方保证乙方审计服务费用的按时到位。</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2.乙方权利和义务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（1）乙方在完成审计任务后，有权及时取得审计服务费用；</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（2）乙方须依照甲方工作要求及行业准则、规范，按时、保质、保量完成所承担的审计任务；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乙方必须对审计人员进行廉政教育，如发现有违反廉洁自律规定的行为，应立即更换人员，并对其严肃处理。同时，甲方可根据性质及情节，扣减相应审计服务费用，并可提请市跟审办没收相应的质量及廉政保证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3、双方权力和责任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3.1 招标人有权进行现场调查和监督，随时调阅有关资料，参与审计的查证、对账和答疑等有关活动。若协审机构未按委托协议完成业务或审计工作中出现严重差错，招标人有权追究协审机构法律和经济责任，并视情节扣减部分或全部审计服务费用，直至终止委托关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3.2 招标人监督协议的执行，协调和处理履约过程中的问题，对协审机构审计工作开展情况进行考核，主要内容包括审计程序、现场履职、审计质量和效率、廉政纪律等方面，考核结果作为经济奖惩和以后参与政府投资项目审计服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3.3 协审机构应本着客观、公正、公平的原则，正确履行审计职责，同时承担相应的法律责任。对协审机构滥用职权、与施工单位串通、徇私舞弊、玩忽职守的，视情节，按有关规定对协审机构及其当事人进行处理处罚；情节严重，涉嫌违法违纪的，依法移送纪检、司法机关查处。</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b/>
          <w:bCs/>
          <w:color w:val="auto"/>
          <w:kern w:val="2"/>
          <w:sz w:val="24"/>
          <w:szCs w:val="24"/>
          <w:highlight w:val="none"/>
        </w:rPr>
      </w:pPr>
      <w:r>
        <w:rPr>
          <w:rFonts w:hint="eastAsia" w:eastAsia="宋体" w:cs="Times New Roman"/>
          <w:b/>
          <w:bCs/>
          <w:color w:val="auto"/>
          <w:kern w:val="2"/>
          <w:sz w:val="24"/>
          <w:szCs w:val="24"/>
          <w:highlight w:val="none"/>
          <w:lang w:val="en-US" w:eastAsia="zh-CN"/>
        </w:rPr>
        <w:t>八</w:t>
      </w:r>
      <w:r>
        <w:rPr>
          <w:rFonts w:hint="eastAsia" w:eastAsia="宋体" w:cs="Times New Roman"/>
          <w:b/>
          <w:bCs/>
          <w:color w:val="auto"/>
          <w:kern w:val="2"/>
          <w:sz w:val="24"/>
          <w:szCs w:val="24"/>
          <w:highlight w:val="none"/>
        </w:rPr>
        <w:t>、附则</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1.本协议一式肆份，具有同等法律效力，甲方、乙方各执贰份。</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2.本协议未尽事宜，由甲乙双方协商解决。协商不成，提请滁州仲裁委员会裁决。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3.本合同自双方签章后生效。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甲方（签章）                              乙方（签章）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年   月   日                             年  月  日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ascii="宋体" w:hAnsi="宋体" w:cs="宋体"/>
          <w:b/>
          <w:bCs/>
          <w:color w:val="auto"/>
          <w:sz w:val="24"/>
          <w:szCs w:val="24"/>
          <w:highlight w:val="none"/>
        </w:rPr>
      </w:pPr>
      <w:r>
        <w:rPr>
          <w:rFonts w:hint="eastAsia" w:eastAsia="宋体" w:cs="Times New Roman"/>
          <w:color w:val="auto"/>
          <w:kern w:val="2"/>
          <w:sz w:val="24"/>
          <w:szCs w:val="24"/>
          <w:highlight w:val="none"/>
        </w:rPr>
        <w:t> </w:t>
      </w: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22" w:name="_Toc29730"/>
      <w:r>
        <w:rPr>
          <w:rFonts w:hint="eastAsia"/>
        </w:rPr>
        <w:t>第四章</w:t>
      </w:r>
      <w:r>
        <w:t></w:t>
      </w:r>
      <w:r>
        <w:rPr>
          <w:rFonts w:hint="eastAsia"/>
        </w:rPr>
        <w:t>技术标准和要求</w:t>
      </w:r>
      <w:bookmarkEnd w:id="22"/>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rPr>
          <w:rFonts w:hint="eastAsia"/>
        </w:rPr>
      </w:pPr>
      <w:bookmarkStart w:id="23" w:name="_Toc31238"/>
    </w:p>
    <w:p>
      <w:pPr>
        <w:pStyle w:val="2"/>
      </w:pPr>
      <w:r>
        <w:rPr>
          <w:rFonts w:hint="eastAsia"/>
        </w:rPr>
        <w:t>第五章</w:t>
      </w:r>
      <w:r>
        <w:t></w:t>
      </w:r>
      <w:r>
        <w:rPr>
          <w:rFonts w:hint="eastAsia"/>
        </w:rPr>
        <w:t>投标文件格式</w:t>
      </w:r>
      <w:bookmarkEnd w:id="23"/>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人，需具有造价师或造价员证书，需提供人员相关证书；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Lines="100" w:afterLines="100" w:line="480" w:lineRule="exact"/>
        <w:ind w:firstLine="180" w:firstLineChars="75"/>
        <w:rPr>
          <w:rFonts w:ascii="仿宋" w:hAnsi="仿宋" w:eastAsia="仿宋" w:cs="仿宋"/>
          <w:b/>
          <w:color w:val="auto"/>
          <w:sz w:val="24"/>
          <w:szCs w:val="24"/>
        </w:rPr>
      </w:pPr>
      <w:bookmarkStart w:id="2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24"/>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lang w:val="en-US" w:eastAsia="zh-CN"/>
        </w:rPr>
        <w:t>投标</w:t>
      </w:r>
      <w:r>
        <w:rPr>
          <w:rFonts w:hint="eastAsia"/>
          <w:b/>
          <w:sz w:val="28"/>
          <w:szCs w:val="28"/>
        </w:rPr>
        <w:t>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w:t>
      </w:r>
      <w:r>
        <w:rPr>
          <w:rFonts w:hint="eastAsia" w:ascii="宋体" w:cs="宋体"/>
          <w:kern w:val="0"/>
          <w:sz w:val="24"/>
          <w:lang w:val="en-US" w:eastAsia="zh-CN"/>
        </w:rPr>
        <w:t>审计服务</w:t>
      </w:r>
      <w:r>
        <w:rPr>
          <w:rFonts w:hint="eastAsia" w:ascii="宋体" w:cs="宋体"/>
          <w:kern w:val="0"/>
          <w:sz w:val="24"/>
        </w:rPr>
        <w:t>，向招标单位提交造价成果。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w:t>
      </w:r>
      <w:r>
        <w:rPr>
          <w:rFonts w:hint="eastAsia" w:ascii="宋体" w:cs="宋体"/>
          <w:kern w:val="0"/>
          <w:sz w:val="24"/>
          <w:lang w:val="en-US" w:eastAsia="zh-CN"/>
        </w:rPr>
        <w:t>审计费</w:t>
      </w:r>
      <w:r>
        <w:rPr>
          <w:rFonts w:hint="eastAsia" w:ascii="宋体" w:cs="宋体"/>
          <w:kern w:val="0"/>
          <w:sz w:val="24"/>
        </w:rPr>
        <w:t>按</w:t>
      </w:r>
      <w:r>
        <w:rPr>
          <w:rFonts w:hint="eastAsia" w:ascii="宋体" w:cs="宋体"/>
          <w:kern w:val="0"/>
          <w:sz w:val="24"/>
          <w:u w:val="single"/>
          <w:lang w:val="en-US" w:eastAsia="zh-CN"/>
        </w:rPr>
        <w:t>基本费率     ‰（保留两位小数，第三位四舍五入）；审核成果费率1.50%计算，开票税率：   %</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25" w:name="_Toc23863"/>
      <w:r>
        <w:rPr>
          <w:rFonts w:hint="eastAsia"/>
        </w:rPr>
        <w:t>第六章</w:t>
      </w:r>
      <w:r>
        <w:t></w:t>
      </w:r>
      <w:r>
        <w:rPr>
          <w:rFonts w:hint="eastAsia"/>
        </w:rPr>
        <w:t>招标单位、招标代理机构对本招标文件的确认</w:t>
      </w:r>
      <w:bookmarkEnd w:id="2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滁州市储备粮油管理有限公司沙河分公司升级改造项目跟踪审计服务</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招标单位：滁州市储备粮油管理有限公司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经 办 人：杨康、吕健</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联系电话：18255047168、13955018398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监督人：李功元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联系方式 15805500365 </w:t>
            </w:r>
          </w:p>
          <w:p>
            <w:pPr>
              <w:spacing w:line="500" w:lineRule="exact"/>
              <w:ind w:firstLine="280" w:firstLineChars="100"/>
              <w:rPr>
                <w:rFonts w:ascii="仿宋" w:hAnsi="仿宋" w:eastAsia="仿宋" w:cs="仿宋"/>
                <w:b w:val="0"/>
                <w:bCs w:val="0"/>
                <w:sz w:val="28"/>
                <w:szCs w:val="28"/>
              </w:rPr>
            </w:pPr>
            <w:r>
              <w:rPr>
                <w:rFonts w:hint="eastAsia" w:ascii="仿宋" w:hAnsi="仿宋" w:eastAsia="仿宋" w:cs="仿宋"/>
                <w:b w:val="0"/>
                <w:bCs w:val="0"/>
                <w:sz w:val="28"/>
                <w:szCs w:val="28"/>
              </w:rPr>
              <w:t>监督电话：0550-3061544</w:t>
            </w: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6720" w:firstLineChars="24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9"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30</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IcKc8BAACq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bJ8&#10;uUoK9QErKrwLVBqHt36gvZnjSMFEfGjBpi9RYpQnfc9XfdUQmUyX1qv1uqSUpNzsEH7xcD0AxnfK&#10;W5aMmgM9YNZVnD5gHEvnktTN+VttTH5E4/4KEOYYUXkLptuJyThxsuKwHyZ6e9+ciV1Pm1BzR4vP&#10;mXnvSOi0NLMBs7GfjWMAfeho0GWeEsObY6SR8qSpwwhLDJNDT5i5TuuWduRPP1c9/G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GUhwpzwEAAKoDAAAOAAAAAAAAAAEAIAAAAB4BAABkcnMv&#10;ZTJvRG9jLnhtbFBLBQYAAAAABgAGAFkBAABfBQ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30</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14DD6"/>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3169F6"/>
    <w:rsid w:val="035607B0"/>
    <w:rsid w:val="035A0B08"/>
    <w:rsid w:val="03DD3435"/>
    <w:rsid w:val="04880F3B"/>
    <w:rsid w:val="04BB1052"/>
    <w:rsid w:val="0569511D"/>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4392E9B"/>
    <w:rsid w:val="15D60886"/>
    <w:rsid w:val="16A220B2"/>
    <w:rsid w:val="16AB249D"/>
    <w:rsid w:val="1935521D"/>
    <w:rsid w:val="1C136BB6"/>
    <w:rsid w:val="1C4B5EA8"/>
    <w:rsid w:val="1E1554ED"/>
    <w:rsid w:val="207B6E01"/>
    <w:rsid w:val="22036095"/>
    <w:rsid w:val="23B802A0"/>
    <w:rsid w:val="259D6311"/>
    <w:rsid w:val="26252182"/>
    <w:rsid w:val="265E174C"/>
    <w:rsid w:val="2686038F"/>
    <w:rsid w:val="28A605BD"/>
    <w:rsid w:val="28C72B2B"/>
    <w:rsid w:val="29581C87"/>
    <w:rsid w:val="2A241E9E"/>
    <w:rsid w:val="2C874AAF"/>
    <w:rsid w:val="2C8E66A6"/>
    <w:rsid w:val="2CAF5168"/>
    <w:rsid w:val="2CBB47F9"/>
    <w:rsid w:val="2D4A1910"/>
    <w:rsid w:val="2EFD1D1D"/>
    <w:rsid w:val="2F3A186E"/>
    <w:rsid w:val="32852601"/>
    <w:rsid w:val="332433C5"/>
    <w:rsid w:val="3376156C"/>
    <w:rsid w:val="348E387D"/>
    <w:rsid w:val="35A46FAE"/>
    <w:rsid w:val="35EB2B90"/>
    <w:rsid w:val="398960D8"/>
    <w:rsid w:val="3A066436"/>
    <w:rsid w:val="3A2516BB"/>
    <w:rsid w:val="3B3C635C"/>
    <w:rsid w:val="3B3D3F5B"/>
    <w:rsid w:val="3CCB04A6"/>
    <w:rsid w:val="3CD37326"/>
    <w:rsid w:val="3E777DF4"/>
    <w:rsid w:val="3EED354E"/>
    <w:rsid w:val="3F173AB4"/>
    <w:rsid w:val="3F7A539C"/>
    <w:rsid w:val="3FB5783A"/>
    <w:rsid w:val="408338D7"/>
    <w:rsid w:val="41510996"/>
    <w:rsid w:val="42147451"/>
    <w:rsid w:val="43881670"/>
    <w:rsid w:val="43E82525"/>
    <w:rsid w:val="44A8055A"/>
    <w:rsid w:val="45AF30FD"/>
    <w:rsid w:val="46333804"/>
    <w:rsid w:val="465B3014"/>
    <w:rsid w:val="472F5293"/>
    <w:rsid w:val="47317B28"/>
    <w:rsid w:val="47DB0FE0"/>
    <w:rsid w:val="485A4022"/>
    <w:rsid w:val="48986B3F"/>
    <w:rsid w:val="49B66251"/>
    <w:rsid w:val="4A29529B"/>
    <w:rsid w:val="4BB93099"/>
    <w:rsid w:val="4E5B79A0"/>
    <w:rsid w:val="4F8A1859"/>
    <w:rsid w:val="4FA63ED0"/>
    <w:rsid w:val="502D24E4"/>
    <w:rsid w:val="50442C3B"/>
    <w:rsid w:val="52CE5689"/>
    <w:rsid w:val="558A3D0F"/>
    <w:rsid w:val="569E5C28"/>
    <w:rsid w:val="572D1619"/>
    <w:rsid w:val="57313D11"/>
    <w:rsid w:val="578D69F6"/>
    <w:rsid w:val="599A4762"/>
    <w:rsid w:val="59FB390D"/>
    <w:rsid w:val="5B5877E2"/>
    <w:rsid w:val="5BE3458F"/>
    <w:rsid w:val="5C013ED6"/>
    <w:rsid w:val="5DD0286D"/>
    <w:rsid w:val="5EEA0F2A"/>
    <w:rsid w:val="5F9D1CA2"/>
    <w:rsid w:val="5FD300DB"/>
    <w:rsid w:val="607D3F8F"/>
    <w:rsid w:val="608C59E7"/>
    <w:rsid w:val="61095D5D"/>
    <w:rsid w:val="61284751"/>
    <w:rsid w:val="655541D3"/>
    <w:rsid w:val="65594766"/>
    <w:rsid w:val="65AE22F3"/>
    <w:rsid w:val="66465782"/>
    <w:rsid w:val="665F0DDC"/>
    <w:rsid w:val="670A4733"/>
    <w:rsid w:val="676F0B8F"/>
    <w:rsid w:val="67D068B1"/>
    <w:rsid w:val="67DE5EA5"/>
    <w:rsid w:val="6A16299D"/>
    <w:rsid w:val="6CE112BD"/>
    <w:rsid w:val="6D0B604A"/>
    <w:rsid w:val="6DAC05BE"/>
    <w:rsid w:val="6DE5298B"/>
    <w:rsid w:val="6F025A4C"/>
    <w:rsid w:val="6F8373FF"/>
    <w:rsid w:val="6FDE7145"/>
    <w:rsid w:val="7025059A"/>
    <w:rsid w:val="70ED2282"/>
    <w:rsid w:val="725809D6"/>
    <w:rsid w:val="73875405"/>
    <w:rsid w:val="73B74532"/>
    <w:rsid w:val="74425F26"/>
    <w:rsid w:val="74CC7CBB"/>
    <w:rsid w:val="753E6878"/>
    <w:rsid w:val="766320B0"/>
    <w:rsid w:val="774E2667"/>
    <w:rsid w:val="77BA0F2C"/>
    <w:rsid w:val="7ACE7FFE"/>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8">
    <w:name w:val="Default Paragraph Font"/>
    <w:autoRedefine/>
    <w:semiHidden/>
    <w:qFormat/>
    <w:uiPriority w:val="99"/>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8"/>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9"/>
    <w:autoRedefine/>
    <w:qFormat/>
    <w:uiPriority w:val="99"/>
    <w:rPr>
      <w:rFonts w:ascii="仿宋_GB2312" w:eastAsia="仿宋_GB2312" w:cs="仿宋_GB2312"/>
      <w:sz w:val="30"/>
      <w:szCs w:val="30"/>
    </w:rPr>
  </w:style>
  <w:style w:type="paragraph" w:styleId="28">
    <w:name w:val="Body Text Indent 2"/>
    <w:basedOn w:val="1"/>
    <w:link w:val="80"/>
    <w:autoRedefine/>
    <w:qFormat/>
    <w:uiPriority w:val="99"/>
    <w:pPr>
      <w:spacing w:line="360" w:lineRule="exact"/>
      <w:ind w:firstLine="600" w:firstLineChars="250"/>
      <w:jc w:val="left"/>
    </w:pPr>
    <w:rPr>
      <w:sz w:val="24"/>
      <w:szCs w:val="24"/>
    </w:rPr>
  </w:style>
  <w:style w:type="paragraph" w:styleId="29">
    <w:name w:val="Balloon Text"/>
    <w:basedOn w:val="1"/>
    <w:link w:val="81"/>
    <w:autoRedefine/>
    <w:semiHidden/>
    <w:qFormat/>
    <w:uiPriority w:val="99"/>
    <w:rPr>
      <w:sz w:val="18"/>
      <w:szCs w:val="18"/>
    </w:rPr>
  </w:style>
  <w:style w:type="paragraph" w:styleId="30">
    <w:name w:val="footer"/>
    <w:basedOn w:val="1"/>
    <w:link w:val="82"/>
    <w:autoRedefine/>
    <w:qFormat/>
    <w:uiPriority w:val="99"/>
    <w:pPr>
      <w:tabs>
        <w:tab w:val="center" w:pos="4153"/>
        <w:tab w:val="right" w:pos="8306"/>
      </w:tabs>
      <w:snapToGrid w:val="0"/>
      <w:jc w:val="left"/>
    </w:pPr>
    <w:rPr>
      <w:sz w:val="18"/>
      <w:szCs w:val="18"/>
    </w:rPr>
  </w:style>
  <w:style w:type="paragraph" w:styleId="3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annotation subject"/>
    <w:basedOn w:val="15"/>
    <w:next w:val="15"/>
    <w:link w:val="89"/>
    <w:autoRedefine/>
    <w:semiHidden/>
    <w:qFormat/>
    <w:uiPriority w:val="99"/>
    <w:rPr>
      <w:rFonts w:ascii="宋体" w:cs="宋体"/>
      <w:b/>
      <w:bCs/>
      <w:kern w:val="0"/>
      <w:sz w:val="28"/>
      <w:szCs w:val="28"/>
    </w:rPr>
  </w:style>
  <w:style w:type="paragraph" w:styleId="45">
    <w:name w:val="Body Text First Indent 2"/>
    <w:basedOn w:val="18"/>
    <w:next w:val="1"/>
    <w:link w:val="90"/>
    <w:autoRedefine/>
    <w:qFormat/>
    <w:uiPriority w:val="99"/>
    <w:pPr>
      <w:ind w:firstLine="420" w:firstLineChars="200"/>
    </w:pPr>
  </w:style>
  <w:style w:type="table" w:styleId="47">
    <w:name w:val="Table Grid"/>
    <w:basedOn w:val="4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99"/>
    <w:rPr>
      <w:rFonts w:cs="Times New Roman"/>
      <w:b/>
      <w:bCs/>
    </w:rPr>
  </w:style>
  <w:style w:type="character" w:styleId="50">
    <w:name w:val="page number"/>
    <w:basedOn w:val="48"/>
    <w:autoRedefine/>
    <w:qFormat/>
    <w:uiPriority w:val="99"/>
    <w:rPr>
      <w:rFonts w:cs="Times New Roman"/>
    </w:rPr>
  </w:style>
  <w:style w:type="character" w:styleId="51">
    <w:name w:val="FollowedHyperlink"/>
    <w:basedOn w:val="48"/>
    <w:autoRedefine/>
    <w:qFormat/>
    <w:uiPriority w:val="99"/>
    <w:rPr>
      <w:rFonts w:cs="Times New Roman"/>
      <w:color w:val="333333"/>
      <w:u w:val="none"/>
    </w:rPr>
  </w:style>
  <w:style w:type="character" w:styleId="52">
    <w:name w:val="Emphasis"/>
    <w:basedOn w:val="48"/>
    <w:autoRedefine/>
    <w:qFormat/>
    <w:uiPriority w:val="99"/>
    <w:rPr>
      <w:rFonts w:cs="Times New Roman"/>
      <w:color w:val="auto"/>
    </w:rPr>
  </w:style>
  <w:style w:type="character" w:styleId="53">
    <w:name w:val="HTML Definition"/>
    <w:basedOn w:val="48"/>
    <w:autoRedefine/>
    <w:qFormat/>
    <w:uiPriority w:val="99"/>
    <w:rPr>
      <w:rFonts w:cs="Times New Roman"/>
    </w:rPr>
  </w:style>
  <w:style w:type="character" w:styleId="54">
    <w:name w:val="HTML Typewriter"/>
    <w:basedOn w:val="48"/>
    <w:autoRedefine/>
    <w:qFormat/>
    <w:uiPriority w:val="99"/>
    <w:rPr>
      <w:rFonts w:ascii="monospace" w:hAnsi="monospace" w:cs="monospace"/>
      <w:sz w:val="20"/>
    </w:rPr>
  </w:style>
  <w:style w:type="character" w:styleId="55">
    <w:name w:val="HTML Acronym"/>
    <w:basedOn w:val="48"/>
    <w:autoRedefine/>
    <w:qFormat/>
    <w:uiPriority w:val="99"/>
    <w:rPr>
      <w:rFonts w:cs="Times New Roman"/>
    </w:rPr>
  </w:style>
  <w:style w:type="character" w:styleId="56">
    <w:name w:val="HTML Variable"/>
    <w:basedOn w:val="48"/>
    <w:autoRedefine/>
    <w:qFormat/>
    <w:uiPriority w:val="99"/>
    <w:rPr>
      <w:rFonts w:cs="Times New Roman"/>
    </w:rPr>
  </w:style>
  <w:style w:type="character" w:styleId="57">
    <w:name w:val="Hyperlink"/>
    <w:basedOn w:val="48"/>
    <w:autoRedefine/>
    <w:qFormat/>
    <w:uiPriority w:val="99"/>
    <w:rPr>
      <w:rFonts w:cs="Times New Roman"/>
      <w:color w:val="333333"/>
      <w:u w:val="none"/>
    </w:rPr>
  </w:style>
  <w:style w:type="character" w:styleId="58">
    <w:name w:val="HTML Code"/>
    <w:basedOn w:val="48"/>
    <w:autoRedefine/>
    <w:qFormat/>
    <w:uiPriority w:val="99"/>
    <w:rPr>
      <w:rFonts w:ascii="monospace" w:hAnsi="monospace" w:cs="monospace"/>
      <w:sz w:val="20"/>
    </w:rPr>
  </w:style>
  <w:style w:type="character" w:styleId="59">
    <w:name w:val="annotation reference"/>
    <w:basedOn w:val="48"/>
    <w:autoRedefine/>
    <w:semiHidden/>
    <w:qFormat/>
    <w:uiPriority w:val="99"/>
    <w:rPr>
      <w:rFonts w:cs="Times New Roman"/>
      <w:sz w:val="21"/>
      <w:szCs w:val="21"/>
    </w:rPr>
  </w:style>
  <w:style w:type="character" w:styleId="60">
    <w:name w:val="HTML Cite"/>
    <w:basedOn w:val="48"/>
    <w:autoRedefine/>
    <w:qFormat/>
    <w:uiPriority w:val="99"/>
    <w:rPr>
      <w:rFonts w:cs="Times New Roman"/>
    </w:rPr>
  </w:style>
  <w:style w:type="character" w:styleId="61">
    <w:name w:val="footnote reference"/>
    <w:basedOn w:val="48"/>
    <w:autoRedefine/>
    <w:semiHidden/>
    <w:qFormat/>
    <w:uiPriority w:val="99"/>
    <w:rPr>
      <w:rFonts w:cs="Times New Roman"/>
      <w:vertAlign w:val="superscript"/>
    </w:rPr>
  </w:style>
  <w:style w:type="character" w:styleId="62">
    <w:name w:val="HTML Keyboard"/>
    <w:basedOn w:val="48"/>
    <w:autoRedefine/>
    <w:qFormat/>
    <w:uiPriority w:val="99"/>
    <w:rPr>
      <w:rFonts w:ascii="monospace" w:hAnsi="monospace" w:cs="monospace"/>
      <w:sz w:val="20"/>
    </w:rPr>
  </w:style>
  <w:style w:type="character" w:styleId="63">
    <w:name w:val="HTML Sample"/>
    <w:basedOn w:val="48"/>
    <w:autoRedefine/>
    <w:qFormat/>
    <w:uiPriority w:val="99"/>
    <w:rPr>
      <w:rFonts w:ascii="monospace" w:hAnsi="monospace" w:cs="monospace"/>
    </w:rPr>
  </w:style>
  <w:style w:type="character" w:customStyle="1" w:styleId="64">
    <w:name w:val="Heading 1 Char"/>
    <w:basedOn w:val="48"/>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Heading 2 Char"/>
    <w:basedOn w:val="48"/>
    <w:link w:val="3"/>
    <w:autoRedefine/>
    <w:qFormat/>
    <w:locked/>
    <w:uiPriority w:val="99"/>
    <w:rPr>
      <w:rFonts w:ascii="Arial" w:hAnsi="Arial" w:eastAsia="黑体" w:cs="Arial"/>
      <w:b/>
      <w:bCs/>
      <w:kern w:val="2"/>
      <w:sz w:val="32"/>
      <w:szCs w:val="32"/>
      <w:lang w:val="en-US" w:eastAsia="zh-CN"/>
    </w:rPr>
  </w:style>
  <w:style w:type="character" w:customStyle="1" w:styleId="66">
    <w:name w:val="Heading 3 Char"/>
    <w:basedOn w:val="48"/>
    <w:link w:val="4"/>
    <w:autoRedefine/>
    <w:qFormat/>
    <w:locked/>
    <w:uiPriority w:val="99"/>
    <w:rPr>
      <w:rFonts w:eastAsia="宋体" w:cs="Times New Roman"/>
      <w:b/>
      <w:bCs/>
      <w:kern w:val="2"/>
      <w:sz w:val="32"/>
      <w:szCs w:val="32"/>
      <w:lang w:val="en-US" w:eastAsia="zh-CN"/>
    </w:rPr>
  </w:style>
  <w:style w:type="character" w:customStyle="1" w:styleId="67">
    <w:name w:val="Heading 4 Char"/>
    <w:basedOn w:val="48"/>
    <w:link w:val="5"/>
    <w:autoRedefine/>
    <w:qFormat/>
    <w:locked/>
    <w:uiPriority w:val="99"/>
    <w:rPr>
      <w:rFonts w:ascii="Cambria" w:hAnsi="Cambria" w:eastAsia="宋体" w:cs="Cambria"/>
      <w:b/>
      <w:bCs/>
      <w:kern w:val="2"/>
      <w:sz w:val="28"/>
      <w:szCs w:val="28"/>
      <w:lang w:val="en-US" w:eastAsia="zh-CN"/>
    </w:rPr>
  </w:style>
  <w:style w:type="character" w:customStyle="1" w:styleId="68">
    <w:name w:val="Heading 5 Char"/>
    <w:basedOn w:val="48"/>
    <w:link w:val="6"/>
    <w:autoRedefine/>
    <w:qFormat/>
    <w:locked/>
    <w:uiPriority w:val="99"/>
    <w:rPr>
      <w:rFonts w:ascii="Calibri" w:hAnsi="Calibri" w:eastAsia="宋体" w:cs="Calibri"/>
      <w:b/>
      <w:bCs/>
      <w:kern w:val="2"/>
      <w:sz w:val="28"/>
      <w:szCs w:val="28"/>
      <w:lang w:val="en-US" w:eastAsia="zh-CN"/>
    </w:rPr>
  </w:style>
  <w:style w:type="character" w:customStyle="1" w:styleId="69">
    <w:name w:val="Heading 6 Char"/>
    <w:basedOn w:val="48"/>
    <w:link w:val="7"/>
    <w:autoRedefine/>
    <w:qFormat/>
    <w:locked/>
    <w:uiPriority w:val="99"/>
    <w:rPr>
      <w:rFonts w:ascii="Cambria" w:hAnsi="Cambria" w:eastAsia="宋体" w:cs="Cambria"/>
      <w:b/>
      <w:bCs/>
      <w:kern w:val="2"/>
      <w:sz w:val="24"/>
      <w:szCs w:val="24"/>
      <w:lang w:val="en-US" w:eastAsia="zh-CN"/>
    </w:rPr>
  </w:style>
  <w:style w:type="character" w:customStyle="1" w:styleId="70">
    <w:name w:val="Heading 7 Char"/>
    <w:basedOn w:val="48"/>
    <w:link w:val="8"/>
    <w:autoRedefine/>
    <w:qFormat/>
    <w:locked/>
    <w:uiPriority w:val="99"/>
    <w:rPr>
      <w:rFonts w:ascii="Calibri" w:hAnsi="Calibri" w:eastAsia="宋体" w:cs="Calibri"/>
      <w:b/>
      <w:bCs/>
      <w:kern w:val="2"/>
      <w:sz w:val="24"/>
      <w:szCs w:val="24"/>
      <w:lang w:val="en-US" w:eastAsia="zh-CN"/>
    </w:rPr>
  </w:style>
  <w:style w:type="character" w:customStyle="1" w:styleId="71">
    <w:name w:val="Heading 8 Char"/>
    <w:basedOn w:val="48"/>
    <w:link w:val="9"/>
    <w:autoRedefine/>
    <w:qFormat/>
    <w:locked/>
    <w:uiPriority w:val="99"/>
    <w:rPr>
      <w:rFonts w:ascii="Cambria" w:hAnsi="Cambria" w:eastAsia="宋体" w:cs="Cambria"/>
      <w:kern w:val="2"/>
      <w:sz w:val="24"/>
      <w:szCs w:val="24"/>
      <w:lang w:val="en-US" w:eastAsia="zh-CN"/>
    </w:rPr>
  </w:style>
  <w:style w:type="character" w:customStyle="1" w:styleId="72">
    <w:name w:val="Heading 9 Char"/>
    <w:basedOn w:val="48"/>
    <w:link w:val="10"/>
    <w:autoRedefine/>
    <w:qFormat/>
    <w:locked/>
    <w:uiPriority w:val="99"/>
    <w:rPr>
      <w:rFonts w:ascii="Cambria" w:hAnsi="Cambria" w:eastAsia="宋体" w:cs="Cambria"/>
      <w:kern w:val="2"/>
      <w:sz w:val="21"/>
      <w:szCs w:val="21"/>
      <w:lang w:val="en-US" w:eastAsia="zh-CN"/>
    </w:rPr>
  </w:style>
  <w:style w:type="character" w:customStyle="1" w:styleId="73">
    <w:name w:val="Document Map Char"/>
    <w:basedOn w:val="48"/>
    <w:link w:val="14"/>
    <w:autoRedefine/>
    <w:qFormat/>
    <w:locked/>
    <w:uiPriority w:val="99"/>
    <w:rPr>
      <w:rFonts w:cs="Times New Roman"/>
      <w:sz w:val="24"/>
      <w:szCs w:val="24"/>
      <w:shd w:val="clear" w:color="auto" w:fill="000080"/>
    </w:rPr>
  </w:style>
  <w:style w:type="character" w:customStyle="1" w:styleId="74">
    <w:name w:val="Comment Text Char"/>
    <w:basedOn w:val="48"/>
    <w:link w:val="15"/>
    <w:autoRedefine/>
    <w:qFormat/>
    <w:locked/>
    <w:uiPriority w:val="99"/>
    <w:rPr>
      <w:rFonts w:cs="Times New Roman"/>
      <w:kern w:val="2"/>
      <w:sz w:val="22"/>
      <w:szCs w:val="22"/>
    </w:rPr>
  </w:style>
  <w:style w:type="character" w:customStyle="1" w:styleId="75">
    <w:name w:val="Body Text 3 Char"/>
    <w:basedOn w:val="48"/>
    <w:link w:val="16"/>
    <w:autoRedefine/>
    <w:semiHidden/>
    <w:qFormat/>
    <w:locked/>
    <w:uiPriority w:val="99"/>
    <w:rPr>
      <w:rFonts w:cs="Times New Roman"/>
      <w:sz w:val="16"/>
      <w:szCs w:val="16"/>
    </w:rPr>
  </w:style>
  <w:style w:type="character" w:customStyle="1" w:styleId="76">
    <w:name w:val="Body Text Char"/>
    <w:basedOn w:val="48"/>
    <w:link w:val="17"/>
    <w:autoRedefine/>
    <w:qFormat/>
    <w:locked/>
    <w:uiPriority w:val="99"/>
    <w:rPr>
      <w:rFonts w:eastAsia="宋体" w:cs="Times New Roman"/>
      <w:b/>
      <w:bCs/>
      <w:kern w:val="2"/>
      <w:sz w:val="44"/>
      <w:szCs w:val="44"/>
      <w:lang w:val="en-US" w:eastAsia="zh-CN"/>
    </w:rPr>
  </w:style>
  <w:style w:type="character" w:customStyle="1" w:styleId="77">
    <w:name w:val="Body Text Indent Char"/>
    <w:basedOn w:val="48"/>
    <w:link w:val="18"/>
    <w:autoRedefine/>
    <w:semiHidden/>
    <w:qFormat/>
    <w:locked/>
    <w:uiPriority w:val="99"/>
    <w:rPr>
      <w:rFonts w:cs="Times New Roman"/>
      <w:sz w:val="21"/>
      <w:szCs w:val="21"/>
    </w:rPr>
  </w:style>
  <w:style w:type="character" w:customStyle="1" w:styleId="78">
    <w:name w:val="Plain Text Char"/>
    <w:basedOn w:val="48"/>
    <w:link w:val="25"/>
    <w:autoRedefine/>
    <w:semiHidden/>
    <w:qFormat/>
    <w:locked/>
    <w:uiPriority w:val="99"/>
    <w:rPr>
      <w:rFonts w:ascii="宋体" w:hAnsi="Courier New" w:cs="Courier New"/>
      <w:sz w:val="21"/>
      <w:szCs w:val="21"/>
    </w:rPr>
  </w:style>
  <w:style w:type="character" w:customStyle="1" w:styleId="79">
    <w:name w:val="Date Char"/>
    <w:basedOn w:val="48"/>
    <w:link w:val="27"/>
    <w:autoRedefine/>
    <w:qFormat/>
    <w:locked/>
    <w:uiPriority w:val="99"/>
    <w:rPr>
      <w:rFonts w:ascii="仿宋_GB2312" w:eastAsia="仿宋_GB2312" w:cs="仿宋_GB2312"/>
      <w:kern w:val="2"/>
      <w:sz w:val="30"/>
      <w:szCs w:val="30"/>
      <w:lang w:val="en-US" w:eastAsia="zh-CN"/>
    </w:rPr>
  </w:style>
  <w:style w:type="character" w:customStyle="1" w:styleId="80">
    <w:name w:val="Body Text Indent 2 Char"/>
    <w:basedOn w:val="48"/>
    <w:link w:val="28"/>
    <w:autoRedefine/>
    <w:semiHidden/>
    <w:qFormat/>
    <w:locked/>
    <w:uiPriority w:val="99"/>
    <w:rPr>
      <w:rFonts w:cs="Times New Roman"/>
      <w:sz w:val="21"/>
      <w:szCs w:val="21"/>
    </w:rPr>
  </w:style>
  <w:style w:type="character" w:customStyle="1" w:styleId="81">
    <w:name w:val="Balloon Text Char"/>
    <w:basedOn w:val="48"/>
    <w:link w:val="29"/>
    <w:autoRedefine/>
    <w:semiHidden/>
    <w:qFormat/>
    <w:locked/>
    <w:uiPriority w:val="99"/>
    <w:rPr>
      <w:rFonts w:cs="Times New Roman"/>
      <w:sz w:val="2"/>
    </w:rPr>
  </w:style>
  <w:style w:type="character" w:customStyle="1" w:styleId="82">
    <w:name w:val="Footer Char"/>
    <w:basedOn w:val="48"/>
    <w:link w:val="30"/>
    <w:autoRedefine/>
    <w:qFormat/>
    <w:locked/>
    <w:uiPriority w:val="99"/>
    <w:rPr>
      <w:rFonts w:eastAsia="宋体" w:cs="Times New Roman"/>
      <w:kern w:val="2"/>
      <w:sz w:val="18"/>
      <w:szCs w:val="18"/>
      <w:lang w:val="en-US" w:eastAsia="zh-CN"/>
    </w:rPr>
  </w:style>
  <w:style w:type="character" w:customStyle="1" w:styleId="83">
    <w:name w:val="Header Char"/>
    <w:basedOn w:val="48"/>
    <w:link w:val="31"/>
    <w:autoRedefine/>
    <w:qFormat/>
    <w:locked/>
    <w:uiPriority w:val="99"/>
    <w:rPr>
      <w:rFonts w:eastAsia="宋体" w:cs="Times New Roman"/>
      <w:kern w:val="2"/>
      <w:sz w:val="18"/>
      <w:szCs w:val="18"/>
      <w:lang w:val="en-US" w:eastAsia="zh-CN"/>
    </w:rPr>
  </w:style>
  <w:style w:type="character" w:customStyle="1" w:styleId="84">
    <w:name w:val="Subtitle Char"/>
    <w:basedOn w:val="48"/>
    <w:link w:val="34"/>
    <w:autoRedefine/>
    <w:qFormat/>
    <w:locked/>
    <w:uiPriority w:val="99"/>
    <w:rPr>
      <w:rFonts w:ascii="Cambria" w:hAnsi="Cambria" w:cs="Cambria"/>
      <w:b/>
      <w:bCs/>
      <w:kern w:val="28"/>
      <w:sz w:val="32"/>
      <w:szCs w:val="32"/>
    </w:rPr>
  </w:style>
  <w:style w:type="character" w:customStyle="1" w:styleId="85">
    <w:name w:val="Footnote Text Char"/>
    <w:basedOn w:val="48"/>
    <w:link w:val="35"/>
    <w:autoRedefine/>
    <w:semiHidden/>
    <w:qFormat/>
    <w:locked/>
    <w:uiPriority w:val="99"/>
    <w:rPr>
      <w:rFonts w:cs="Times New Roman"/>
      <w:sz w:val="18"/>
      <w:szCs w:val="18"/>
    </w:rPr>
  </w:style>
  <w:style w:type="character" w:customStyle="1" w:styleId="86">
    <w:name w:val="Body Text Indent 3 Char"/>
    <w:basedOn w:val="48"/>
    <w:link w:val="37"/>
    <w:autoRedefine/>
    <w:semiHidden/>
    <w:qFormat/>
    <w:locked/>
    <w:uiPriority w:val="99"/>
    <w:rPr>
      <w:rFonts w:cs="Times New Roman"/>
      <w:sz w:val="16"/>
      <w:szCs w:val="16"/>
    </w:rPr>
  </w:style>
  <w:style w:type="character" w:customStyle="1" w:styleId="87">
    <w:name w:val="Body Text 2 Char"/>
    <w:basedOn w:val="48"/>
    <w:link w:val="41"/>
    <w:autoRedefine/>
    <w:semiHidden/>
    <w:qFormat/>
    <w:locked/>
    <w:uiPriority w:val="99"/>
    <w:rPr>
      <w:rFonts w:cs="Times New Roman"/>
      <w:sz w:val="21"/>
      <w:szCs w:val="21"/>
    </w:rPr>
  </w:style>
  <w:style w:type="character" w:customStyle="1" w:styleId="88">
    <w:name w:val="Title Char"/>
    <w:basedOn w:val="48"/>
    <w:link w:val="20"/>
    <w:autoRedefine/>
    <w:qFormat/>
    <w:locked/>
    <w:uiPriority w:val="99"/>
    <w:rPr>
      <w:rFonts w:ascii="Cambria" w:hAnsi="Cambria" w:cs="Cambria"/>
      <w:b/>
      <w:bCs/>
      <w:kern w:val="2"/>
      <w:sz w:val="32"/>
      <w:szCs w:val="32"/>
    </w:rPr>
  </w:style>
  <w:style w:type="character" w:customStyle="1" w:styleId="89">
    <w:name w:val="Comment Subject Char"/>
    <w:basedOn w:val="74"/>
    <w:link w:val="44"/>
    <w:autoRedefine/>
    <w:qFormat/>
    <w:locked/>
    <w:uiPriority w:val="99"/>
    <w:rPr>
      <w:rFonts w:ascii="宋体" w:cs="宋体"/>
      <w:b/>
      <w:bCs/>
      <w:sz w:val="28"/>
      <w:szCs w:val="28"/>
    </w:rPr>
  </w:style>
  <w:style w:type="character" w:customStyle="1" w:styleId="90">
    <w:name w:val="Body Text First Indent 2 Char"/>
    <w:basedOn w:val="77"/>
    <w:link w:val="45"/>
    <w:autoRedefine/>
    <w:semiHidden/>
    <w:qFormat/>
    <w:locked/>
    <w:uiPriority w:val="99"/>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3"/>
    <w:next w:val="22"/>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8"/>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19</Pages>
  <Words>9075</Words>
  <Characters>9846</Characters>
  <Lines>0</Lines>
  <Paragraphs>0</Paragraphs>
  <TotalTime>0</TotalTime>
  <ScaleCrop>false</ScaleCrop>
  <LinksUpToDate>false</LinksUpToDate>
  <CharactersWithSpaces>10804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2019-03-21T08:38:00Z</cp:lastPrinted>
  <dcterms:modified xsi:type="dcterms:W3CDTF">2024-05-08T04:15:51Z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D49FBE77CD184B719440FFDE5EB6B586_13</vt:lpwstr>
  </property>
</Properties>
</file>