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rPr>
        <w:t>滁州市城泊车辆服务有限公司冬款工作服采购</w:t>
      </w:r>
      <w:r>
        <w:rPr>
          <w:rFonts w:hint="eastAsia" w:ascii="宋体" w:hAnsi="宋体" w:eastAsia="宋体" w:cs="宋体"/>
          <w:b/>
          <w:bCs/>
          <w:sz w:val="44"/>
          <w:szCs w:val="44"/>
          <w:lang w:val="en-US" w:eastAsia="zh-CN"/>
        </w:rPr>
        <w:t>项目</w:t>
      </w:r>
      <w:r>
        <w:rPr>
          <w:rFonts w:hint="eastAsia" w:ascii="宋体" w:hAnsi="宋体" w:eastAsia="宋体" w:cs="宋体"/>
          <w:b/>
          <w:bCs/>
          <w:sz w:val="44"/>
          <w:szCs w:val="44"/>
        </w:rPr>
        <w:t>招标</w:t>
      </w:r>
      <w:r>
        <w:rPr>
          <w:rFonts w:hint="eastAsia" w:ascii="宋体" w:hAnsi="宋体" w:eastAsia="宋体" w:cs="宋体"/>
          <w:b/>
          <w:bCs/>
          <w:sz w:val="44"/>
          <w:szCs w:val="44"/>
          <w:lang w:val="en-US" w:eastAsia="zh-CN"/>
        </w:rPr>
        <w:t>文件</w:t>
      </w:r>
    </w:p>
    <w:p>
      <w:pPr>
        <w:bidi w:val="0"/>
      </w:pPr>
      <w:r>
        <w:rPr>
          <w:rFonts w:hint="eastAsia"/>
        </w:rPr>
        <w:t> </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滁州市城泊车辆服务有限公司现采用公开招标的方式确定冬款工作服供货单位，欢迎各</w:t>
      </w:r>
      <w:r>
        <w:rPr>
          <w:rFonts w:hint="eastAsia" w:ascii="仿宋_GB2312" w:hAnsi="仿宋_GB2312" w:eastAsia="仿宋_GB2312" w:cs="仿宋_GB2312"/>
          <w:sz w:val="32"/>
          <w:szCs w:val="32"/>
          <w:lang w:val="en-US" w:eastAsia="zh-CN"/>
        </w:rPr>
        <w:t>家</w:t>
      </w:r>
      <w:r>
        <w:rPr>
          <w:rFonts w:hint="eastAsia" w:ascii="仿宋_GB2312" w:hAnsi="仿宋_GB2312" w:eastAsia="仿宋_GB2312" w:cs="仿宋_GB2312"/>
          <w:sz w:val="32"/>
          <w:szCs w:val="32"/>
        </w:rPr>
        <w:t>有能力</w:t>
      </w:r>
      <w:r>
        <w:rPr>
          <w:rFonts w:hint="eastAsia" w:ascii="仿宋_GB2312" w:hAnsi="仿宋_GB2312" w:eastAsia="仿宋_GB2312" w:cs="仿宋_GB2312"/>
          <w:sz w:val="32"/>
          <w:szCs w:val="32"/>
          <w:lang w:val="en-US" w:eastAsia="zh-CN"/>
        </w:rPr>
        <w:t>投标人</w:t>
      </w:r>
      <w:r>
        <w:rPr>
          <w:rFonts w:hint="eastAsia" w:ascii="仿宋_GB2312" w:hAnsi="仿宋_GB2312" w:eastAsia="仿宋_GB2312" w:cs="仿宋_GB2312"/>
          <w:sz w:val="32"/>
          <w:szCs w:val="32"/>
        </w:rPr>
        <w:t>积极参与报价，现将相关情况说明如下：</w:t>
      </w:r>
    </w:p>
    <w:p>
      <w:pPr>
        <w:bidi w:val="0"/>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一、采购内容及相关要求采购内容</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名称：纯棉藏蓝色中长款棉服可拆卸内胆和棉帽（防静电内胆）、涤棉藏蓝色防静电棉裤可拆卸内胆、涤棉网状反光马甲。</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颜色：藏蓝色（棉服、棉裤），荧光绿（马甲）</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面料要求：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棉服：面料100%棉，内胆（内层）面料涤棉防静电，填充物为丝绵</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棉裤：面料涤棉防静电，内胆（内层）面料涤棉防静电，填充物为丝绵</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反光马甲：涤棉网状。</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印字要求：棉服（刺绣颜色为黄色）和反光马甲（印字颜色为蓝色）印字标准见招标文件中附图所示。</w:t>
      </w:r>
    </w:p>
    <w:p>
      <w:pPr>
        <w:bidi w:val="0"/>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投标人</w:t>
      </w:r>
      <w:r>
        <w:rPr>
          <w:rFonts w:hint="eastAsia" w:ascii="仿宋_GB2312" w:hAnsi="仿宋_GB2312" w:eastAsia="仿宋_GB2312" w:cs="仿宋_GB2312"/>
          <w:b/>
          <w:bCs/>
          <w:sz w:val="32"/>
          <w:szCs w:val="32"/>
        </w:rPr>
        <w:t>资格要求</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投标人具有独立法人或独立法人的分支机构资格，合法经营。投标人需能提供有效的营业执照、税务登记证、组织机构代码证（或三证合一的证书），并开具增值税发票。本项目不接受联合体投标。</w:t>
      </w:r>
    </w:p>
    <w:p>
      <w:pPr>
        <w:bidi w:val="0"/>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三、供货时间、地点</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供货时间：签订合同后20日历天</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供货地点：滁州市城泊车辆服务有限公司</w:t>
      </w:r>
      <w:r>
        <w:rPr>
          <w:rFonts w:hint="eastAsia" w:ascii="仿宋_GB2312" w:hAnsi="仿宋_GB2312" w:eastAsia="仿宋_GB2312" w:cs="仿宋_GB2312"/>
          <w:sz w:val="32"/>
          <w:szCs w:val="32"/>
          <w:lang w:eastAsia="zh-CN"/>
        </w:rPr>
        <w:t>。</w:t>
      </w:r>
    </w:p>
    <w:p>
      <w:pPr>
        <w:bidi w:val="0"/>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四、采购物品验收</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采购物品送到后，由采购单位组织相关人员对采购物品质量及数量进行验收。</w:t>
      </w:r>
    </w:p>
    <w:p>
      <w:pPr>
        <w:bidi w:val="0"/>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五、付款方式</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买方按照合同实际履行进度付款。经采购单位验收合格后，卖方需提供增值税发票。</w:t>
      </w:r>
    </w:p>
    <w:p>
      <w:pPr>
        <w:bidi w:val="0"/>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文件组成</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人经年检有效的营业执照复印件</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2、法定代表人身份证复印件或法定代表人签署的授权书原件及被授权人身份证</w:t>
      </w:r>
      <w:r>
        <w:rPr>
          <w:rFonts w:hint="eastAsia" w:ascii="仿宋_GB2312" w:hAnsi="仿宋_GB2312" w:eastAsia="仿宋_GB2312" w:cs="仿宋_GB2312"/>
          <w:sz w:val="32"/>
          <w:szCs w:val="32"/>
          <w:lang w:val="en-US" w:eastAsia="zh-CN"/>
        </w:rPr>
        <w:t>复印件</w:t>
      </w:r>
      <w:r>
        <w:rPr>
          <w:rFonts w:hint="eastAsia" w:ascii="仿宋_GB2312" w:hAnsi="仿宋_GB2312" w:eastAsia="仿宋_GB2312" w:cs="仿宋_GB2312"/>
          <w:sz w:val="32"/>
          <w:szCs w:val="32"/>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3、报价单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报价单样式见招标文件</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上述材料均需加盖</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人公章。</w:t>
      </w:r>
    </w:p>
    <w:p>
      <w:pPr>
        <w:bidi w:val="0"/>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七、</w:t>
      </w:r>
      <w:r>
        <w:rPr>
          <w:rFonts w:hint="eastAsia" w:ascii="仿宋_GB2312" w:hAnsi="仿宋_GB2312" w:eastAsia="仿宋_GB2312" w:cs="仿宋_GB2312"/>
          <w:b/>
          <w:bCs/>
          <w:sz w:val="32"/>
          <w:szCs w:val="32"/>
          <w:lang w:val="en-US" w:eastAsia="zh-CN"/>
        </w:rPr>
        <w:t>投标人</w:t>
      </w:r>
      <w:r>
        <w:rPr>
          <w:rFonts w:hint="eastAsia" w:ascii="仿宋_GB2312" w:hAnsi="仿宋_GB2312" w:eastAsia="仿宋_GB2312" w:cs="仿宋_GB2312"/>
          <w:b/>
          <w:bCs/>
          <w:sz w:val="32"/>
          <w:szCs w:val="32"/>
        </w:rPr>
        <w:t>注意事项</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报价形式为固定总价，投标报价主要包含已知或潜在的完成本项目所需的材料费、刺绣和印字费、人工费、机械费、建设费、措施费、风险费、税费、运输费、装卸费、调试费、成品保护费、邮寄费、服务费、利润等所有一切费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人对</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文件有异议的，可在</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lang w:val="en-US" w:eastAsia="zh-CN"/>
        </w:rPr>
        <w:t>日期</w:t>
      </w:r>
      <w:r>
        <w:rPr>
          <w:rFonts w:hint="eastAsia" w:ascii="仿宋_GB2312" w:hAnsi="仿宋_GB2312" w:eastAsia="仿宋_GB2312" w:cs="仿宋_GB2312"/>
          <w:sz w:val="32"/>
          <w:szCs w:val="32"/>
        </w:rPr>
        <w:t>前提出，否则后期出现缺项不予调整。</w:t>
      </w:r>
    </w:p>
    <w:p>
      <w:pPr>
        <w:bidi w:val="0"/>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八、中标单位选择</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招标单位本着“公平、公正、公开”的原则，采取最低价（扣除可抵扣的进项税后的金额最低者中标）选定成交人。本次项目最高控制价</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rPr>
        <w:t>1.85万元（含税），超出报价无效。</w:t>
      </w:r>
    </w:p>
    <w:p>
      <w:pPr>
        <w:bidi w:val="0"/>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九、</w:t>
      </w:r>
      <w:r>
        <w:rPr>
          <w:rFonts w:hint="eastAsia" w:ascii="仿宋_GB2312" w:hAnsi="仿宋_GB2312" w:eastAsia="仿宋_GB2312" w:cs="仿宋_GB2312"/>
          <w:b/>
          <w:bCs/>
          <w:sz w:val="32"/>
          <w:szCs w:val="32"/>
          <w:lang w:val="en-US" w:eastAsia="zh-CN"/>
        </w:rPr>
        <w:t>招标时间及</w:t>
      </w:r>
      <w:r>
        <w:rPr>
          <w:rFonts w:hint="eastAsia" w:ascii="仿宋_GB2312" w:hAnsi="仿宋_GB2312" w:eastAsia="仿宋_GB2312" w:cs="仿宋_GB2312"/>
          <w:b/>
          <w:bCs/>
          <w:sz w:val="32"/>
          <w:szCs w:val="32"/>
        </w:rPr>
        <w:t>《招标文件》领取方式</w:t>
      </w:r>
    </w:p>
    <w:p>
      <w:pPr>
        <w:bidi w:val="0"/>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招标时间：2023年11月24日至2023年11月29日15时止；</w:t>
      </w:r>
    </w:p>
    <w:p>
      <w:pPr>
        <w:bidi w:val="0"/>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在中国扬子集团网站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http://www.yangzigroup.cn/</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或滁州市工投公司公众号</w:t>
      </w:r>
      <w:r>
        <w:rPr>
          <w:rFonts w:hint="eastAsia" w:ascii="仿宋_GB2312" w:hAnsi="仿宋_GB2312" w:eastAsia="仿宋_GB2312" w:cs="仿宋_GB2312"/>
          <w:sz w:val="32"/>
          <w:szCs w:val="32"/>
        </w:rPr>
        <w:t>下载。请投标人于2023年11月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15时</w:t>
      </w:r>
      <w:r>
        <w:rPr>
          <w:rFonts w:hint="eastAsia" w:ascii="仿宋_GB2312" w:hAnsi="仿宋_GB2312" w:eastAsia="仿宋_GB2312" w:cs="仿宋_GB2312"/>
          <w:sz w:val="32"/>
          <w:szCs w:val="32"/>
        </w:rPr>
        <w:t>前将投标文件密封递交或邮寄至滁州市中都大道与醉翁西路交口城投大厦13楼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逾期无效。</w:t>
      </w:r>
    </w:p>
    <w:p>
      <w:pPr>
        <w:bidi w:val="0"/>
        <w:ind w:firstLine="643" w:firstLineChars="200"/>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val="en-US" w:eastAsia="zh-CN"/>
        </w:rPr>
        <w:t>开标</w:t>
      </w:r>
      <w:r>
        <w:rPr>
          <w:rFonts w:hint="eastAsia" w:ascii="仿宋_GB2312" w:hAnsi="仿宋_GB2312" w:eastAsia="仿宋_GB2312" w:cs="仿宋_GB2312"/>
          <w:b/>
          <w:bCs/>
          <w:sz w:val="32"/>
          <w:szCs w:val="32"/>
        </w:rPr>
        <w:t>时间</w:t>
      </w:r>
      <w:r>
        <w:rPr>
          <w:rFonts w:hint="eastAsia" w:ascii="仿宋_GB2312" w:hAnsi="仿宋_GB2312" w:eastAsia="仿宋_GB2312" w:cs="仿宋_GB2312"/>
          <w:b/>
          <w:bCs/>
          <w:sz w:val="32"/>
          <w:szCs w:val="32"/>
          <w:lang w:val="en-US" w:eastAsia="zh-CN"/>
        </w:rPr>
        <w:t>及开标地点</w:t>
      </w:r>
    </w:p>
    <w:p>
      <w:pPr>
        <w:bidi w:val="0"/>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开标时间：2023年11月29日15时；</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开标地点：</w:t>
      </w:r>
      <w:r>
        <w:rPr>
          <w:rFonts w:hint="eastAsia" w:ascii="仿宋_GB2312" w:hAnsi="仿宋_GB2312" w:eastAsia="仿宋_GB2312" w:cs="仿宋_GB2312"/>
          <w:sz w:val="32"/>
          <w:szCs w:val="32"/>
        </w:rPr>
        <w:t>滁州市中都大道与醉翁西路交口城投大厦13楼</w:t>
      </w:r>
      <w:r>
        <w:rPr>
          <w:rFonts w:hint="eastAsia" w:ascii="仿宋_GB2312" w:hAnsi="仿宋_GB2312" w:eastAsia="仿宋_GB2312" w:cs="仿宋_GB2312"/>
          <w:sz w:val="32"/>
          <w:szCs w:val="32"/>
          <w:lang w:val="en-US" w:eastAsia="zh-CN"/>
        </w:rPr>
        <w:t>会议室。</w:t>
      </w:r>
    </w:p>
    <w:p>
      <w:pPr>
        <w:bidi w:val="0"/>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十一、联系人、联系方式、联系地址</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联系人：丁</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rPr>
        <w:t>徐</w:t>
      </w:r>
      <w:r>
        <w:rPr>
          <w:rFonts w:hint="eastAsia" w:ascii="仿宋_GB2312" w:hAnsi="仿宋_GB2312" w:eastAsia="仿宋_GB2312" w:cs="仿宋_GB2312"/>
          <w:sz w:val="32"/>
          <w:szCs w:val="32"/>
          <w:lang w:val="en-US" w:eastAsia="zh-CN"/>
        </w:rPr>
        <w:t>工；</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电  话：15215500991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7755099330；</w:t>
      </w:r>
    </w:p>
    <w:p>
      <w:pPr>
        <w:bidi w:val="0"/>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地  址：滁州市中都大道与醉翁西路交口城投大厦</w:t>
      </w:r>
      <w:r>
        <w:rPr>
          <w:rFonts w:hint="eastAsia" w:ascii="仿宋_GB2312" w:hAnsi="仿宋_GB2312" w:eastAsia="仿宋_GB2312" w:cs="仿宋_GB2312"/>
          <w:sz w:val="32"/>
          <w:szCs w:val="32"/>
          <w:lang w:val="en-US" w:eastAsia="zh-CN"/>
        </w:rPr>
        <w:t>13楼；</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监督电话：0550-3017855</w:t>
      </w:r>
      <w:r>
        <w:rPr>
          <w:rFonts w:hint="eastAsia" w:ascii="仿宋_GB2312" w:hAnsi="仿宋_GB2312" w:eastAsia="仿宋_GB2312" w:cs="仿宋_GB2312"/>
          <w:sz w:val="32"/>
          <w:szCs w:val="32"/>
          <w:lang w:eastAsia="zh-CN"/>
        </w:rPr>
        <w:t>。</w:t>
      </w:r>
    </w:p>
    <w:p>
      <w:pPr>
        <w:bidi w:val="0"/>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滁州市城泊车辆服务有限公司</w:t>
      </w:r>
    </w:p>
    <w:p>
      <w:pPr>
        <w:bidi w:val="0"/>
        <w:ind w:firstLine="640" w:firstLineChars="200"/>
      </w:pPr>
      <w:r>
        <w:rPr>
          <w:rFonts w:hint="eastAsia" w:ascii="仿宋_GB2312" w:hAnsi="仿宋_GB2312" w:eastAsia="仿宋_GB2312" w:cs="仿宋_GB2312"/>
          <w:sz w:val="32"/>
          <w:szCs w:val="32"/>
        </w:rPr>
        <w:t xml:space="preserve">                               2023年11月2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p>
    <w:p>
      <w:pPr>
        <w:bidi w:val="0"/>
        <w:jc w:val="center"/>
        <w:rPr>
          <w:rFonts w:hint="eastAsia" w:ascii="宋体" w:hAnsi="宋体" w:eastAsia="宋体" w:cs="宋体"/>
          <w:b/>
          <w:bCs/>
          <w:sz w:val="44"/>
          <w:szCs w:val="48"/>
          <w:lang w:val="en-US" w:eastAsia="zh-CN"/>
        </w:rPr>
      </w:pPr>
      <w:bookmarkStart w:id="0" w:name="_GoBack"/>
      <w:bookmarkEnd w:id="0"/>
      <w:r>
        <w:rPr>
          <w:rFonts w:hint="eastAsia" w:ascii="宋体" w:hAnsi="宋体" w:eastAsia="宋体" w:cs="宋体"/>
          <w:b/>
          <w:bCs/>
          <w:sz w:val="44"/>
          <w:szCs w:val="48"/>
        </w:rPr>
        <w:t>滁州市城泊车辆服务有限公司冬款工作服采购项目</w:t>
      </w:r>
      <w:r>
        <w:rPr>
          <w:rFonts w:hint="eastAsia" w:ascii="宋体" w:hAnsi="宋体" w:eastAsia="宋体" w:cs="宋体"/>
          <w:b/>
          <w:bCs/>
          <w:sz w:val="44"/>
          <w:szCs w:val="48"/>
          <w:lang w:val="en-US" w:eastAsia="zh-CN"/>
        </w:rPr>
        <w:t>报价单</w:t>
      </w:r>
    </w:p>
    <w:tbl>
      <w:tblPr>
        <w:tblStyle w:val="8"/>
        <w:tblW w:w="103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821"/>
        <w:gridCol w:w="1386"/>
        <w:gridCol w:w="603"/>
        <w:gridCol w:w="718"/>
        <w:gridCol w:w="795"/>
        <w:gridCol w:w="947"/>
        <w:gridCol w:w="760"/>
        <w:gridCol w:w="3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434" w:type="dxa"/>
            <w:gridSpan w:val="2"/>
            <w:vAlign w:val="center"/>
          </w:tcPr>
          <w:p>
            <w:pPr>
              <w:rPr>
                <w:rFonts w:ascii="楷体" w:hAnsi="楷体" w:eastAsia="楷体" w:cs="Times New Roman"/>
                <w:color w:val="000000"/>
                <w:sz w:val="24"/>
                <w:szCs w:val="24"/>
              </w:rPr>
            </w:pPr>
            <w:r>
              <w:rPr>
                <w:rFonts w:ascii="楷体" w:hAnsi="楷体" w:eastAsia="楷体" w:cs="Times New Roman"/>
                <w:color w:val="000000"/>
                <w:sz w:val="24"/>
                <w:szCs w:val="24"/>
              </w:rPr>
              <w:t xml:space="preserve"> </w:t>
            </w:r>
            <w:r>
              <w:rPr>
                <w:rFonts w:hint="eastAsia" w:ascii="楷体" w:hAnsi="楷体" w:eastAsia="楷体" w:cs="Times New Roman"/>
                <w:color w:val="000000"/>
                <w:sz w:val="24"/>
                <w:szCs w:val="24"/>
              </w:rPr>
              <w:t>招标日期</w:t>
            </w:r>
            <w:r>
              <w:rPr>
                <w:rFonts w:ascii="楷体" w:hAnsi="楷体" w:eastAsia="楷体" w:cs="Times New Roman"/>
                <w:color w:val="000000"/>
                <w:sz w:val="24"/>
                <w:szCs w:val="24"/>
              </w:rPr>
              <w:t xml:space="preserve"> </w:t>
            </w:r>
          </w:p>
        </w:tc>
        <w:tc>
          <w:tcPr>
            <w:tcW w:w="3502" w:type="dxa"/>
            <w:gridSpan w:val="4"/>
            <w:vAlign w:val="center"/>
          </w:tcPr>
          <w:p>
            <w:pPr>
              <w:jc w:val="center"/>
              <w:rPr>
                <w:rFonts w:ascii="楷体" w:hAnsi="楷体" w:eastAsia="楷体" w:cs="Times New Roman"/>
                <w:color w:val="000000"/>
                <w:sz w:val="24"/>
                <w:szCs w:val="24"/>
              </w:rPr>
            </w:pPr>
            <w:r>
              <w:rPr>
                <w:rFonts w:ascii="楷体" w:hAnsi="楷体" w:eastAsia="楷体" w:cs="Times New Roman"/>
                <w:color w:val="000000"/>
                <w:sz w:val="24"/>
                <w:szCs w:val="24"/>
              </w:rPr>
              <w:t>202</w:t>
            </w:r>
            <w:r>
              <w:rPr>
                <w:rFonts w:hint="eastAsia" w:ascii="楷体" w:hAnsi="楷体" w:eastAsia="楷体" w:cs="Times New Roman"/>
                <w:color w:val="000000"/>
                <w:sz w:val="24"/>
                <w:szCs w:val="24"/>
              </w:rPr>
              <w:t>3年11月</w:t>
            </w:r>
            <w:r>
              <w:rPr>
                <w:rFonts w:hint="eastAsia" w:ascii="楷体" w:hAnsi="楷体" w:eastAsia="楷体" w:cs="Times New Roman"/>
                <w:color w:val="000000"/>
                <w:sz w:val="24"/>
                <w:szCs w:val="24"/>
                <w:lang w:val="en-US" w:eastAsia="zh-CN"/>
              </w:rPr>
              <w:t>24</w:t>
            </w:r>
            <w:r>
              <w:rPr>
                <w:rFonts w:hint="eastAsia" w:ascii="楷体" w:hAnsi="楷体" w:eastAsia="楷体" w:cs="Times New Roman"/>
                <w:color w:val="000000"/>
                <w:sz w:val="24"/>
                <w:szCs w:val="24"/>
              </w:rPr>
              <w:t>日</w:t>
            </w:r>
          </w:p>
        </w:tc>
        <w:tc>
          <w:tcPr>
            <w:tcW w:w="1707" w:type="dxa"/>
            <w:gridSpan w:val="2"/>
            <w:vAlign w:val="center"/>
          </w:tcPr>
          <w:p>
            <w:pPr>
              <w:rPr>
                <w:rFonts w:ascii="楷体" w:hAnsi="楷体" w:eastAsia="楷体" w:cs="Times New Roman"/>
                <w:color w:val="000000"/>
                <w:sz w:val="24"/>
                <w:szCs w:val="24"/>
              </w:rPr>
            </w:pPr>
            <w:r>
              <w:rPr>
                <w:rFonts w:ascii="楷体" w:hAnsi="楷体" w:eastAsia="楷体" w:cs="Times New Roman"/>
                <w:color w:val="000000"/>
                <w:sz w:val="24"/>
                <w:szCs w:val="24"/>
              </w:rPr>
              <w:t xml:space="preserve"> </w:t>
            </w:r>
            <w:r>
              <w:rPr>
                <w:rFonts w:hint="eastAsia" w:ascii="楷体" w:hAnsi="楷体" w:eastAsia="楷体" w:cs="Times New Roman"/>
                <w:color w:val="000000"/>
                <w:sz w:val="24"/>
                <w:szCs w:val="24"/>
              </w:rPr>
              <w:t xml:space="preserve">报价日期： </w:t>
            </w:r>
          </w:p>
        </w:tc>
        <w:tc>
          <w:tcPr>
            <w:tcW w:w="3754" w:type="dxa"/>
            <w:vAlign w:val="center"/>
          </w:tcPr>
          <w:p>
            <w:pPr>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434"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招标单位</w:t>
            </w:r>
          </w:p>
        </w:tc>
        <w:tc>
          <w:tcPr>
            <w:tcW w:w="3502" w:type="dxa"/>
            <w:gridSpan w:val="4"/>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滁州市城泊车辆服务有限公司</w:t>
            </w:r>
          </w:p>
        </w:tc>
        <w:tc>
          <w:tcPr>
            <w:tcW w:w="1707"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报价单位</w:t>
            </w:r>
          </w:p>
        </w:tc>
        <w:tc>
          <w:tcPr>
            <w:tcW w:w="3754" w:type="dxa"/>
            <w:vAlign w:val="center"/>
          </w:tcPr>
          <w:p>
            <w:pPr>
              <w:spacing w:line="440" w:lineRule="exact"/>
              <w:jc w:val="left"/>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434"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单位地址</w:t>
            </w:r>
          </w:p>
        </w:tc>
        <w:tc>
          <w:tcPr>
            <w:tcW w:w="3502" w:type="dxa"/>
            <w:gridSpan w:val="4"/>
            <w:vAlign w:val="center"/>
          </w:tcPr>
          <w:p>
            <w:pPr>
              <w:rPr>
                <w:rFonts w:ascii="楷体" w:hAnsi="楷体" w:eastAsia="楷体" w:cs="Times New Roman"/>
                <w:color w:val="000000"/>
                <w:sz w:val="24"/>
                <w:szCs w:val="24"/>
              </w:rPr>
            </w:pPr>
            <w:r>
              <w:rPr>
                <w:rFonts w:hint="eastAsia" w:ascii="楷体" w:hAnsi="楷体" w:eastAsia="楷体" w:cs="Times New Roman"/>
                <w:color w:val="000000"/>
                <w:sz w:val="24"/>
                <w:szCs w:val="24"/>
              </w:rPr>
              <w:t>滁州市中都大道与醉翁西路交口城投大厦13楼</w:t>
            </w:r>
          </w:p>
        </w:tc>
        <w:tc>
          <w:tcPr>
            <w:tcW w:w="1707"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单位地址</w:t>
            </w:r>
          </w:p>
        </w:tc>
        <w:tc>
          <w:tcPr>
            <w:tcW w:w="3754" w:type="dxa"/>
            <w:vAlign w:val="center"/>
          </w:tcPr>
          <w:p>
            <w:pPr>
              <w:spacing w:line="440" w:lineRule="exact"/>
              <w:jc w:val="left"/>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434"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联系人</w:t>
            </w:r>
          </w:p>
        </w:tc>
        <w:tc>
          <w:tcPr>
            <w:tcW w:w="3502" w:type="dxa"/>
            <w:gridSpan w:val="4"/>
            <w:vAlign w:val="center"/>
          </w:tcPr>
          <w:p>
            <w:pPr>
              <w:ind w:firstLine="240" w:firstLineChars="100"/>
              <w:rPr>
                <w:rFonts w:ascii="楷体" w:hAnsi="楷体" w:eastAsia="楷体" w:cs="Times New Roman"/>
                <w:color w:val="000000"/>
                <w:sz w:val="24"/>
                <w:szCs w:val="24"/>
              </w:rPr>
            </w:pPr>
            <w:r>
              <w:rPr>
                <w:rFonts w:hint="eastAsia" w:ascii="楷体" w:hAnsi="楷体" w:eastAsia="楷体" w:cs="Times New Roman"/>
                <w:color w:val="000000"/>
                <w:sz w:val="24"/>
                <w:szCs w:val="24"/>
              </w:rPr>
              <w:t>丁</w:t>
            </w:r>
            <w:r>
              <w:rPr>
                <w:rFonts w:hint="eastAsia" w:ascii="楷体" w:hAnsi="楷体" w:eastAsia="楷体" w:cs="Times New Roman"/>
                <w:color w:val="000000"/>
                <w:sz w:val="24"/>
                <w:szCs w:val="24"/>
                <w:lang w:val="en-US" w:eastAsia="zh-CN"/>
              </w:rPr>
              <w:t>工；</w:t>
            </w:r>
            <w:r>
              <w:rPr>
                <w:rFonts w:ascii="楷体" w:hAnsi="楷体" w:eastAsia="楷体" w:cs="Times New Roman"/>
                <w:color w:val="000000"/>
                <w:sz w:val="24"/>
                <w:szCs w:val="24"/>
              </w:rPr>
              <w:t>15215500991</w:t>
            </w:r>
          </w:p>
        </w:tc>
        <w:tc>
          <w:tcPr>
            <w:tcW w:w="1707"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联系人</w:t>
            </w:r>
          </w:p>
        </w:tc>
        <w:tc>
          <w:tcPr>
            <w:tcW w:w="3754" w:type="dxa"/>
            <w:vAlign w:val="center"/>
          </w:tcPr>
          <w:p>
            <w:pPr>
              <w:spacing w:line="440" w:lineRule="exact"/>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0397" w:type="dxa"/>
            <w:gridSpan w:val="9"/>
            <w:vAlign w:val="center"/>
          </w:tcPr>
          <w:p>
            <w:pPr>
              <w:jc w:val="left"/>
              <w:rPr>
                <w:rFonts w:ascii="楷体" w:hAnsi="楷体" w:eastAsia="楷体" w:cs="Times New Roman"/>
                <w:color w:val="000000"/>
                <w:sz w:val="24"/>
                <w:szCs w:val="24"/>
              </w:rPr>
            </w:pPr>
            <w:r>
              <w:rPr>
                <w:rFonts w:hint="eastAsia" w:ascii="楷体" w:hAnsi="楷体" w:eastAsia="楷体" w:cs="Times New Roman"/>
                <w:color w:val="000000"/>
                <w:sz w:val="24"/>
                <w:szCs w:val="24"/>
              </w:rPr>
              <w:t>交货地点：滁州市城泊车辆服务有限公司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61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序号</w:t>
            </w:r>
          </w:p>
        </w:tc>
        <w:tc>
          <w:tcPr>
            <w:tcW w:w="2207"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产品名称</w:t>
            </w:r>
          </w:p>
        </w:tc>
        <w:tc>
          <w:tcPr>
            <w:tcW w:w="60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单位</w:t>
            </w:r>
          </w:p>
        </w:tc>
        <w:tc>
          <w:tcPr>
            <w:tcW w:w="718"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数量</w:t>
            </w:r>
          </w:p>
        </w:tc>
        <w:tc>
          <w:tcPr>
            <w:tcW w:w="795"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单价</w:t>
            </w:r>
          </w:p>
        </w:tc>
        <w:tc>
          <w:tcPr>
            <w:tcW w:w="947"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金额</w:t>
            </w:r>
          </w:p>
        </w:tc>
        <w:tc>
          <w:tcPr>
            <w:tcW w:w="4514"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产品技术参数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61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1</w:t>
            </w:r>
          </w:p>
        </w:tc>
        <w:tc>
          <w:tcPr>
            <w:tcW w:w="2207" w:type="dxa"/>
            <w:gridSpan w:val="2"/>
            <w:vAlign w:val="center"/>
          </w:tcPr>
          <w:p>
            <w:pPr>
              <w:widowControl/>
              <w:spacing w:line="600" w:lineRule="auto"/>
              <w:jc w:val="center"/>
              <w:textAlignment w:val="center"/>
              <w:rPr>
                <w:rFonts w:ascii="楷体" w:hAnsi="楷体" w:eastAsia="楷体" w:cs="Times New Roman"/>
                <w:color w:val="000000"/>
                <w:sz w:val="24"/>
                <w:szCs w:val="24"/>
              </w:rPr>
            </w:pPr>
            <w:r>
              <w:rPr>
                <w:rFonts w:hint="eastAsia" w:ascii="楷体" w:hAnsi="楷体" w:eastAsia="楷体" w:cs="Times New Roman"/>
                <w:color w:val="000000"/>
                <w:sz w:val="24"/>
                <w:szCs w:val="24"/>
              </w:rPr>
              <w:t>纯棉藏蓝色中长款棉服</w:t>
            </w:r>
          </w:p>
        </w:tc>
        <w:tc>
          <w:tcPr>
            <w:tcW w:w="60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件</w:t>
            </w:r>
          </w:p>
        </w:tc>
        <w:tc>
          <w:tcPr>
            <w:tcW w:w="718" w:type="dxa"/>
            <w:vAlign w:val="center"/>
          </w:tcPr>
          <w:p>
            <w:pPr>
              <w:spacing w:line="600" w:lineRule="auto"/>
              <w:jc w:val="center"/>
              <w:rPr>
                <w:rFonts w:ascii="楷体" w:hAnsi="楷体" w:eastAsia="楷体" w:cs="Times New Roman"/>
                <w:color w:val="000000"/>
                <w:sz w:val="24"/>
                <w:szCs w:val="24"/>
              </w:rPr>
            </w:pPr>
            <w:r>
              <w:rPr>
                <w:rFonts w:ascii="楷体" w:hAnsi="楷体" w:eastAsia="楷体" w:cs="Times New Roman"/>
                <w:color w:val="000000"/>
                <w:sz w:val="24"/>
                <w:szCs w:val="24"/>
              </w:rPr>
              <w:t>55</w:t>
            </w:r>
          </w:p>
        </w:tc>
        <w:tc>
          <w:tcPr>
            <w:tcW w:w="795" w:type="dxa"/>
            <w:vAlign w:val="center"/>
          </w:tcPr>
          <w:p>
            <w:pPr>
              <w:widowControl/>
              <w:spacing w:line="600" w:lineRule="auto"/>
              <w:jc w:val="center"/>
              <w:textAlignment w:val="center"/>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w:t>
            </w:r>
          </w:p>
        </w:tc>
        <w:tc>
          <w:tcPr>
            <w:tcW w:w="947"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w:t>
            </w:r>
          </w:p>
        </w:tc>
        <w:tc>
          <w:tcPr>
            <w:tcW w:w="4514" w:type="dxa"/>
            <w:gridSpan w:val="2"/>
            <w:vAlign w:val="center"/>
          </w:tcPr>
          <w:p>
            <w:pPr>
              <w:jc w:val="left"/>
              <w:rPr>
                <w:rFonts w:ascii="楷体" w:hAnsi="楷体" w:eastAsia="楷体" w:cs="Times New Roman"/>
                <w:color w:val="000000"/>
                <w:sz w:val="24"/>
                <w:szCs w:val="24"/>
              </w:rPr>
            </w:pPr>
            <w:r>
              <w:rPr>
                <w:rFonts w:hint="eastAsia" w:ascii="楷体" w:hAnsi="楷体" w:eastAsia="楷体" w:cs="Times New Roman"/>
                <w:color w:val="000000"/>
                <w:sz w:val="24"/>
                <w:szCs w:val="24"/>
              </w:rPr>
              <w:t>面料100%棉，内胆（内层）面料涤棉防静电，填充物为丝绵，内胆、棉帽可拆卸。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61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2</w:t>
            </w:r>
          </w:p>
        </w:tc>
        <w:tc>
          <w:tcPr>
            <w:tcW w:w="2207" w:type="dxa"/>
            <w:gridSpan w:val="2"/>
            <w:vAlign w:val="center"/>
          </w:tcPr>
          <w:p>
            <w:pPr>
              <w:widowControl/>
              <w:spacing w:line="600" w:lineRule="auto"/>
              <w:jc w:val="center"/>
              <w:textAlignment w:val="center"/>
              <w:rPr>
                <w:rFonts w:ascii="楷体" w:hAnsi="楷体" w:eastAsia="楷体" w:cs="Times New Roman"/>
                <w:color w:val="000000"/>
                <w:sz w:val="24"/>
                <w:szCs w:val="24"/>
              </w:rPr>
            </w:pPr>
            <w:r>
              <w:rPr>
                <w:rFonts w:hint="eastAsia" w:ascii="楷体" w:hAnsi="楷体" w:eastAsia="楷体" w:cs="Times New Roman"/>
                <w:color w:val="000000"/>
                <w:sz w:val="24"/>
                <w:szCs w:val="24"/>
              </w:rPr>
              <w:t>涤棉藏蓝色棉裤</w:t>
            </w:r>
          </w:p>
        </w:tc>
        <w:tc>
          <w:tcPr>
            <w:tcW w:w="60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件</w:t>
            </w:r>
          </w:p>
        </w:tc>
        <w:tc>
          <w:tcPr>
            <w:tcW w:w="718" w:type="dxa"/>
            <w:vAlign w:val="center"/>
          </w:tcPr>
          <w:p>
            <w:pPr>
              <w:spacing w:line="600" w:lineRule="auto"/>
              <w:jc w:val="center"/>
              <w:rPr>
                <w:rFonts w:ascii="楷体" w:hAnsi="楷体" w:eastAsia="楷体" w:cs="Times New Roman"/>
                <w:color w:val="000000"/>
                <w:sz w:val="24"/>
                <w:szCs w:val="24"/>
              </w:rPr>
            </w:pPr>
            <w:r>
              <w:rPr>
                <w:rFonts w:ascii="楷体" w:hAnsi="楷体" w:eastAsia="楷体" w:cs="Times New Roman"/>
                <w:color w:val="000000"/>
                <w:sz w:val="24"/>
                <w:szCs w:val="24"/>
              </w:rPr>
              <w:t>55</w:t>
            </w:r>
          </w:p>
        </w:tc>
        <w:tc>
          <w:tcPr>
            <w:tcW w:w="795" w:type="dxa"/>
            <w:vAlign w:val="center"/>
          </w:tcPr>
          <w:p>
            <w:pPr>
              <w:widowControl/>
              <w:spacing w:line="600" w:lineRule="auto"/>
              <w:jc w:val="center"/>
              <w:textAlignment w:val="center"/>
              <w:rPr>
                <w:rFonts w:ascii="楷体" w:hAnsi="楷体" w:eastAsia="楷体" w:cs="Times New Roman"/>
                <w:color w:val="000000"/>
                <w:sz w:val="24"/>
                <w:szCs w:val="24"/>
              </w:rPr>
            </w:pPr>
          </w:p>
        </w:tc>
        <w:tc>
          <w:tcPr>
            <w:tcW w:w="947" w:type="dxa"/>
            <w:vAlign w:val="center"/>
          </w:tcPr>
          <w:p>
            <w:pPr>
              <w:jc w:val="center"/>
              <w:rPr>
                <w:rFonts w:ascii="楷体" w:hAnsi="楷体" w:eastAsia="楷体" w:cs="Times New Roman"/>
                <w:color w:val="000000"/>
                <w:sz w:val="24"/>
                <w:szCs w:val="24"/>
              </w:rPr>
            </w:pPr>
          </w:p>
        </w:tc>
        <w:tc>
          <w:tcPr>
            <w:tcW w:w="4514" w:type="dxa"/>
            <w:gridSpan w:val="2"/>
            <w:vAlign w:val="center"/>
          </w:tcPr>
          <w:p>
            <w:pPr>
              <w:jc w:val="left"/>
              <w:rPr>
                <w:rFonts w:ascii="楷体" w:hAnsi="楷体" w:eastAsia="楷体" w:cs="Times New Roman"/>
                <w:color w:val="000000"/>
                <w:sz w:val="24"/>
                <w:szCs w:val="24"/>
              </w:rPr>
            </w:pPr>
            <w:r>
              <w:rPr>
                <w:rFonts w:hint="eastAsia" w:ascii="楷体" w:hAnsi="楷体" w:eastAsia="楷体" w:cs="Times New Roman"/>
                <w:color w:val="000000"/>
                <w:sz w:val="24"/>
                <w:szCs w:val="24"/>
              </w:rPr>
              <w:t>面料涤棉防静电，内胆（内层）面料涤棉防静电，填充物为丝绵，内胆可拆卸。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61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3</w:t>
            </w:r>
          </w:p>
        </w:tc>
        <w:tc>
          <w:tcPr>
            <w:tcW w:w="2207" w:type="dxa"/>
            <w:gridSpan w:val="2"/>
            <w:vAlign w:val="center"/>
          </w:tcPr>
          <w:p>
            <w:pPr>
              <w:widowControl/>
              <w:spacing w:line="600" w:lineRule="auto"/>
              <w:jc w:val="center"/>
              <w:textAlignment w:val="center"/>
              <w:rPr>
                <w:rFonts w:ascii="楷体" w:hAnsi="楷体" w:eastAsia="楷体" w:cs="Times New Roman"/>
                <w:color w:val="000000"/>
                <w:sz w:val="24"/>
                <w:szCs w:val="24"/>
              </w:rPr>
            </w:pPr>
            <w:r>
              <w:rPr>
                <w:rFonts w:hint="eastAsia" w:ascii="楷体" w:hAnsi="楷体" w:eastAsia="楷体" w:cs="Times New Roman"/>
                <w:color w:val="000000"/>
                <w:sz w:val="24"/>
                <w:szCs w:val="24"/>
              </w:rPr>
              <w:t>涤棉反光马甲</w:t>
            </w:r>
          </w:p>
        </w:tc>
        <w:tc>
          <w:tcPr>
            <w:tcW w:w="60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件</w:t>
            </w:r>
          </w:p>
        </w:tc>
        <w:tc>
          <w:tcPr>
            <w:tcW w:w="718" w:type="dxa"/>
            <w:vAlign w:val="center"/>
          </w:tcPr>
          <w:p>
            <w:pPr>
              <w:spacing w:line="600" w:lineRule="auto"/>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1</w:t>
            </w:r>
            <w:r>
              <w:rPr>
                <w:rFonts w:ascii="楷体" w:hAnsi="楷体" w:eastAsia="楷体" w:cs="Times New Roman"/>
                <w:color w:val="000000"/>
                <w:sz w:val="24"/>
                <w:szCs w:val="24"/>
              </w:rPr>
              <w:t>10</w:t>
            </w:r>
          </w:p>
        </w:tc>
        <w:tc>
          <w:tcPr>
            <w:tcW w:w="795" w:type="dxa"/>
            <w:vAlign w:val="center"/>
          </w:tcPr>
          <w:p>
            <w:pPr>
              <w:widowControl/>
              <w:spacing w:line="600" w:lineRule="auto"/>
              <w:jc w:val="center"/>
              <w:textAlignment w:val="center"/>
              <w:rPr>
                <w:rFonts w:ascii="楷体" w:hAnsi="楷体" w:eastAsia="楷体" w:cs="Times New Roman"/>
                <w:color w:val="000000"/>
                <w:sz w:val="24"/>
                <w:szCs w:val="24"/>
              </w:rPr>
            </w:pPr>
          </w:p>
        </w:tc>
        <w:tc>
          <w:tcPr>
            <w:tcW w:w="947" w:type="dxa"/>
            <w:vAlign w:val="center"/>
          </w:tcPr>
          <w:p>
            <w:pPr>
              <w:jc w:val="center"/>
              <w:rPr>
                <w:rFonts w:ascii="楷体" w:hAnsi="楷体" w:eastAsia="楷体" w:cs="Times New Roman"/>
                <w:color w:val="000000"/>
                <w:sz w:val="24"/>
                <w:szCs w:val="24"/>
              </w:rPr>
            </w:pPr>
          </w:p>
        </w:tc>
        <w:tc>
          <w:tcPr>
            <w:tcW w:w="4514" w:type="dxa"/>
            <w:gridSpan w:val="2"/>
            <w:vAlign w:val="center"/>
          </w:tcPr>
          <w:p>
            <w:pPr>
              <w:jc w:val="left"/>
              <w:rPr>
                <w:rFonts w:ascii="楷体" w:hAnsi="楷体" w:eastAsia="楷体" w:cs="Times New Roman"/>
                <w:color w:val="000000"/>
                <w:sz w:val="24"/>
                <w:szCs w:val="24"/>
              </w:rPr>
            </w:pPr>
            <w:r>
              <w:rPr>
                <w:rFonts w:hint="eastAsia" w:ascii="楷体" w:hAnsi="楷体" w:eastAsia="楷体" w:cs="Times New Roman"/>
                <w:color w:val="000000"/>
                <w:sz w:val="24"/>
                <w:szCs w:val="24"/>
              </w:rPr>
              <w:t>涤棉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7" w:hRule="atLeast"/>
          <w:jc w:val="center"/>
        </w:trPr>
        <w:tc>
          <w:tcPr>
            <w:tcW w:w="10397" w:type="dxa"/>
            <w:gridSpan w:val="9"/>
          </w:tcPr>
          <w:p>
            <w:pPr>
              <w:rPr>
                <w:rFonts w:ascii="楷体" w:hAnsi="楷体" w:eastAsia="楷体" w:cs="Times New Roman"/>
                <w:color w:val="000000"/>
                <w:sz w:val="28"/>
                <w:szCs w:val="28"/>
              </w:rPr>
            </w:pPr>
            <w:r>
              <w:rPr>
                <w:rFonts w:hint="eastAsia" w:ascii="楷体" w:hAnsi="楷体" w:eastAsia="楷体" w:cs="Times New Roman"/>
                <w:color w:val="000000"/>
                <w:sz w:val="28"/>
                <w:szCs w:val="28"/>
              </w:rPr>
              <w:t>备注：1、工作服款式、颜色、刺绣和印字的颜色、尺寸须与</w:t>
            </w:r>
            <w:r>
              <w:rPr>
                <w:rFonts w:hint="eastAsia" w:ascii="楷体" w:hAnsi="楷体" w:eastAsia="楷体" w:cs="Times New Roman"/>
                <w:color w:val="000000"/>
                <w:sz w:val="28"/>
                <w:szCs w:val="28"/>
                <w:lang w:val="en-US" w:eastAsia="zh-CN"/>
              </w:rPr>
              <w:t>后附</w:t>
            </w:r>
            <w:r>
              <w:rPr>
                <w:rFonts w:hint="eastAsia" w:ascii="楷体" w:hAnsi="楷体" w:eastAsia="楷体" w:cs="Times New Roman"/>
                <w:color w:val="000000"/>
                <w:sz w:val="28"/>
                <w:szCs w:val="28"/>
              </w:rPr>
              <w:t>图片一致。</w:t>
            </w:r>
          </w:p>
          <w:p>
            <w:pPr>
              <w:ind w:firstLine="840" w:firstLineChars="300"/>
              <w:rPr>
                <w:rFonts w:ascii="楷体" w:hAnsi="楷体" w:eastAsia="楷体" w:cs="Times New Roman"/>
                <w:color w:val="000000"/>
                <w:sz w:val="28"/>
                <w:szCs w:val="28"/>
              </w:rPr>
            </w:pPr>
            <w:r>
              <w:rPr>
                <w:rFonts w:hint="eastAsia" w:ascii="楷体" w:hAnsi="楷体" w:eastAsia="楷体" w:cs="Times New Roman"/>
                <w:color w:val="000000"/>
                <w:sz w:val="28"/>
                <w:szCs w:val="28"/>
              </w:rPr>
              <w:t>2、棉服前胸和后背均有反光条。</w:t>
            </w:r>
          </w:p>
          <w:p>
            <w:pPr>
              <w:ind w:firstLine="840" w:firstLineChars="300"/>
              <w:rPr>
                <w:rFonts w:hint="eastAsia" w:ascii="楷体" w:hAnsi="楷体" w:eastAsia="楷体" w:cs="Times New Roman"/>
                <w:color w:val="000000"/>
                <w:sz w:val="28"/>
                <w:szCs w:val="28"/>
              </w:rPr>
            </w:pPr>
            <w:r>
              <w:rPr>
                <w:rFonts w:hint="eastAsia" w:ascii="楷体" w:hAnsi="楷体" w:eastAsia="楷体" w:cs="Times New Roman"/>
                <w:color w:val="000000"/>
                <w:sz w:val="28"/>
                <w:szCs w:val="28"/>
              </w:rPr>
              <w:t>3、马甲前胸和后背均有反光条</w:t>
            </w:r>
          </w:p>
          <w:p>
            <w:pPr>
              <w:ind w:firstLine="840" w:firstLineChars="300"/>
              <w:rPr>
                <w:rFonts w:hint="default" w:ascii="楷体" w:hAnsi="楷体" w:eastAsia="楷体" w:cs="Times New Roman"/>
                <w:color w:val="000000"/>
                <w:sz w:val="28"/>
                <w:szCs w:val="28"/>
                <w:lang w:val="en-US" w:eastAsia="zh-CN"/>
              </w:rPr>
            </w:pPr>
            <w:r>
              <w:rPr>
                <w:rFonts w:hint="eastAsia" w:ascii="楷体" w:hAnsi="楷体" w:eastAsia="楷体" w:cs="Times New Roman"/>
                <w:color w:val="000000"/>
                <w:sz w:val="28"/>
                <w:szCs w:val="28"/>
                <w:lang w:val="en-US" w:eastAsia="zh-CN"/>
              </w:rPr>
              <w:t>4、开具发票类型：</w:t>
            </w:r>
            <w:r>
              <w:rPr>
                <w:rFonts w:hint="eastAsia" w:ascii="楷体" w:hAnsi="楷体" w:eastAsia="楷体" w:cs="Times New Roman"/>
                <w:color w:val="000000"/>
                <w:sz w:val="28"/>
                <w:szCs w:val="28"/>
                <w:u w:val="single"/>
                <w:lang w:val="en-US" w:eastAsia="zh-CN"/>
              </w:rPr>
              <w:t xml:space="preserve">         </w:t>
            </w:r>
            <w:r>
              <w:rPr>
                <w:rFonts w:hint="eastAsia" w:ascii="楷体" w:hAnsi="楷体" w:eastAsia="楷体" w:cs="Times New Roman"/>
                <w:color w:val="000000"/>
                <w:sz w:val="28"/>
                <w:szCs w:val="28"/>
                <w:u w:val="none"/>
                <w:lang w:val="en-US" w:eastAsia="zh-CN"/>
              </w:rPr>
              <w:t>；</w:t>
            </w:r>
            <w:r>
              <w:rPr>
                <w:rFonts w:hint="eastAsia" w:ascii="楷体" w:hAnsi="楷体" w:eastAsia="楷体" w:cs="Times New Roman"/>
                <w:color w:val="000000"/>
                <w:sz w:val="28"/>
                <w:szCs w:val="28"/>
                <w:lang w:val="en-US" w:eastAsia="zh-CN"/>
              </w:rPr>
              <w:t>税率</w:t>
            </w:r>
            <w:r>
              <w:rPr>
                <w:rFonts w:hint="eastAsia" w:ascii="楷体" w:hAnsi="楷体" w:eastAsia="楷体" w:cs="Times New Roman"/>
                <w:color w:val="000000"/>
                <w:sz w:val="28"/>
                <w:szCs w:val="28"/>
                <w:u w:val="single"/>
                <w:lang w:val="en-US" w:eastAsia="zh-CN"/>
              </w:rPr>
              <w:t xml:space="preserve">     </w:t>
            </w:r>
            <w:r>
              <w:rPr>
                <w:rFonts w:hint="eastAsia" w:ascii="楷体" w:hAnsi="楷体" w:eastAsia="楷体" w:cs="Times New Roman"/>
                <w:color w:val="000000"/>
                <w:sz w:val="28"/>
                <w:szCs w:val="28"/>
                <w:u w:val="none"/>
                <w:lang w:val="en-US" w:eastAsia="zh-CN"/>
              </w:rPr>
              <w:t>。</w:t>
            </w:r>
          </w:p>
        </w:tc>
      </w:tr>
    </w:tbl>
    <w:p>
      <w:pPr>
        <w:bidi w:val="0"/>
      </w:pPr>
    </w:p>
    <w:p>
      <w:pPr>
        <w:keepNext/>
        <w:keepLines/>
        <w:spacing w:before="340" w:after="330"/>
        <w:jc w:val="center"/>
        <w:outlineLvl w:val="0"/>
        <w:rPr>
          <w:rFonts w:ascii="楷体" w:hAnsi="楷体" w:eastAsia="楷体" w:cs="Times New Roman"/>
          <w:b/>
          <w:color w:val="000000"/>
          <w:sz w:val="44"/>
          <w:szCs w:val="44"/>
        </w:rPr>
      </w:pPr>
      <w:r>
        <w:rPr>
          <w:rFonts w:ascii="楷体" w:hAnsi="楷体" w:eastAsia="楷体" w:cs="Times New Roman"/>
          <w:b/>
          <w:color w:val="000000"/>
          <w:sz w:val="44"/>
          <w:szCs w:val="44"/>
        </w:rPr>
        <w:drawing>
          <wp:inline distT="0" distB="0" distL="0" distR="0">
            <wp:extent cx="5274310" cy="4940300"/>
            <wp:effectExtent l="0" t="0" r="2540" b="0"/>
            <wp:docPr id="3" name="图片 3" descr="C:\WINDOWS\Temp\WeChat Files\d5a6af219705c92f11125bb75a00a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WINDOWS\Temp\WeChat Files\d5a6af219705c92f11125bb75a00a14.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4940562"/>
                    </a:xfrm>
                    <a:prstGeom prst="rect">
                      <a:avLst/>
                    </a:prstGeom>
                    <a:noFill/>
                    <a:ln>
                      <a:noFill/>
                    </a:ln>
                  </pic:spPr>
                </pic:pic>
              </a:graphicData>
            </a:graphic>
          </wp:inline>
        </w:drawing>
      </w:r>
    </w:p>
    <w:p>
      <w:pPr>
        <w:keepNext/>
        <w:keepLines/>
        <w:spacing w:before="340" w:after="330"/>
        <w:jc w:val="center"/>
        <w:outlineLvl w:val="0"/>
        <w:rPr>
          <w:rFonts w:ascii="楷体" w:hAnsi="楷体" w:eastAsia="楷体" w:cs="Times New Roman"/>
          <w:b/>
          <w:color w:val="000000"/>
          <w:sz w:val="44"/>
          <w:szCs w:val="44"/>
        </w:rPr>
      </w:pPr>
    </w:p>
    <w:p>
      <w:pPr>
        <w:keepNext/>
        <w:keepLines/>
        <w:spacing w:before="340" w:after="330"/>
        <w:jc w:val="center"/>
        <w:outlineLvl w:val="0"/>
        <w:rPr>
          <w:rFonts w:ascii="楷体" w:hAnsi="楷体" w:eastAsia="楷体" w:cs="Times New Roman"/>
          <w:b/>
          <w:color w:val="000000"/>
          <w:sz w:val="44"/>
          <w:szCs w:val="44"/>
        </w:rPr>
      </w:pPr>
    </w:p>
    <w:p>
      <w:pPr>
        <w:keepNext/>
        <w:keepLines/>
        <w:spacing w:before="340" w:after="330"/>
        <w:jc w:val="center"/>
        <w:outlineLvl w:val="0"/>
        <w:rPr>
          <w:rFonts w:ascii="楷体" w:hAnsi="楷体" w:eastAsia="楷体" w:cs="Times New Roman"/>
          <w:b/>
          <w:color w:val="000000"/>
          <w:sz w:val="44"/>
          <w:szCs w:val="44"/>
        </w:rPr>
      </w:pPr>
    </w:p>
    <w:p>
      <w:pPr>
        <w:keepNext/>
        <w:keepLines/>
        <w:spacing w:before="340" w:after="330"/>
        <w:outlineLvl w:val="0"/>
        <w:rPr>
          <w:rFonts w:ascii="楷体" w:hAnsi="楷体" w:eastAsia="楷体" w:cs="Times New Roman"/>
          <w:b/>
          <w:color w:val="000000"/>
          <w:sz w:val="44"/>
          <w:szCs w:val="44"/>
        </w:rPr>
      </w:pPr>
      <w:r>
        <w:rPr>
          <w:rFonts w:hint="eastAsia" w:ascii="楷体" w:hAnsi="楷体" w:eastAsia="楷体" w:cs="Times New Roman"/>
          <w:b/>
          <w:color w:val="000000"/>
          <w:sz w:val="44"/>
          <w:szCs w:val="44"/>
        </w:rPr>
        <w:t xml:space="preserve"> </w:t>
      </w:r>
    </w:p>
    <w:p>
      <w:pPr>
        <w:keepNext/>
        <w:keepLines/>
        <w:spacing w:before="340" w:after="330"/>
        <w:outlineLvl w:val="0"/>
        <w:rPr>
          <w:rFonts w:ascii="楷体" w:hAnsi="楷体" w:eastAsia="楷体" w:cs="Times New Roman"/>
          <w:b/>
          <w:color w:val="000000"/>
          <w:sz w:val="44"/>
          <w:szCs w:val="44"/>
        </w:rPr>
      </w:pPr>
    </w:p>
    <w:p>
      <w:pPr>
        <w:keepNext/>
        <w:keepLines/>
        <w:spacing w:before="340" w:after="330"/>
        <w:outlineLvl w:val="0"/>
        <w:rPr>
          <w:rFonts w:ascii="楷体" w:hAnsi="楷体" w:eastAsia="楷体" w:cs="Times New Roman"/>
          <w:b/>
          <w:color w:val="000000"/>
          <w:sz w:val="44"/>
          <w:szCs w:val="44"/>
        </w:rPr>
      </w:pPr>
    </w:p>
    <w:p>
      <w:pPr>
        <w:keepNext/>
        <w:keepLines/>
        <w:spacing w:before="340" w:after="330"/>
        <w:outlineLvl w:val="0"/>
        <w:rPr>
          <w:rFonts w:ascii="楷体" w:hAnsi="楷体" w:eastAsia="楷体" w:cs="Times New Roman"/>
          <w:b/>
          <w:color w:val="000000"/>
          <w:sz w:val="44"/>
          <w:szCs w:val="44"/>
        </w:rPr>
      </w:pPr>
      <w:r>
        <w:rPr>
          <w:rFonts w:ascii="楷体" w:hAnsi="楷体" w:eastAsia="楷体" w:cs="Times New Roman"/>
          <w:b/>
          <w:color w:val="000000"/>
          <w:sz w:val="44"/>
          <w:szCs w:val="44"/>
        </w:rPr>
        <w:drawing>
          <wp:inline distT="0" distB="0" distL="0" distR="0">
            <wp:extent cx="5274310" cy="5089525"/>
            <wp:effectExtent l="0" t="0" r="2540" b="0"/>
            <wp:docPr id="6" name="图片 6" descr="C:\WINDOWS\Temp\WeChat Files\1805f234ca0bde5f36e411f0a4fc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WINDOWS\Temp\WeChat Files\1805f234ca0bde5f36e411f0a4fc04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5089933"/>
                    </a:xfrm>
                    <a:prstGeom prst="rect">
                      <a:avLst/>
                    </a:prstGeom>
                    <a:noFill/>
                    <a:ln>
                      <a:noFill/>
                    </a:ln>
                  </pic:spPr>
                </pic:pic>
              </a:graphicData>
            </a:graphic>
          </wp:inline>
        </w:drawing>
      </w:r>
    </w:p>
    <w:p>
      <w:pPr>
        <w:keepNext/>
        <w:keepLines/>
        <w:spacing w:before="340" w:after="330"/>
        <w:outlineLvl w:val="0"/>
        <w:rPr>
          <w:rFonts w:ascii="楷体" w:hAnsi="楷体" w:eastAsia="楷体" w:cs="Times New Roman"/>
          <w:b/>
          <w:color w:val="000000"/>
          <w:sz w:val="44"/>
          <w:szCs w:val="44"/>
        </w:rPr>
      </w:pPr>
    </w:p>
    <w:p>
      <w:pPr>
        <w:keepNext/>
        <w:keepLines/>
        <w:spacing w:before="340" w:after="330"/>
        <w:outlineLvl w:val="0"/>
        <w:rPr>
          <w:rFonts w:ascii="楷体" w:hAnsi="楷体" w:eastAsia="楷体" w:cs="Times New Roman"/>
          <w:b/>
          <w:color w:val="000000"/>
          <w:sz w:val="44"/>
          <w:szCs w:val="44"/>
        </w:rPr>
      </w:pPr>
      <w:r>
        <w:rPr>
          <w:rFonts w:hint="eastAsia" w:ascii="楷体" w:hAnsi="楷体" w:eastAsia="楷体" w:cs="Times New Roman"/>
          <w:b/>
          <w:color w:val="000000"/>
          <w:sz w:val="44"/>
          <w:szCs w:val="44"/>
        </w:rPr>
        <w:t xml:space="preserve"> </w:t>
      </w:r>
    </w:p>
    <w:p>
      <w:pPr>
        <w:keepNext/>
        <w:keepLines/>
        <w:spacing w:before="340" w:after="330"/>
        <w:outlineLvl w:val="0"/>
        <w:rPr>
          <w:rFonts w:ascii="楷体" w:hAnsi="楷体" w:eastAsia="楷体" w:cs="Times New Roman"/>
          <w:b/>
          <w:color w:val="000000"/>
          <w:sz w:val="44"/>
          <w:szCs w:val="44"/>
        </w:rPr>
      </w:pPr>
    </w:p>
    <w:p>
      <w:pPr>
        <w:keepNext/>
        <w:keepLines/>
        <w:spacing w:before="340" w:after="330"/>
        <w:outlineLvl w:val="0"/>
        <w:rPr>
          <w:rFonts w:ascii="楷体" w:hAnsi="楷体" w:eastAsia="楷体" w:cs="Times New Roman"/>
          <w:b/>
          <w:color w:val="000000"/>
          <w:sz w:val="44"/>
          <w:szCs w:val="44"/>
        </w:rPr>
      </w:pPr>
      <w:r>
        <w:rPr>
          <w:rFonts w:ascii="楷体" w:hAnsi="楷体" w:eastAsia="楷体" w:cs="Times New Roman"/>
          <w:b/>
          <w:color w:val="000000"/>
          <w:sz w:val="44"/>
          <w:szCs w:val="44"/>
        </w:rPr>
        <w:drawing>
          <wp:inline distT="0" distB="0" distL="0" distR="0">
            <wp:extent cx="5274310" cy="7911465"/>
            <wp:effectExtent l="0" t="0" r="2540" b="0"/>
            <wp:docPr id="5" name="图片 5" descr="C:\WINDOWS\Temp\WeChat Files\55772d171ec9f886216b9acee4909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WINDOWS\Temp\WeChat Files\55772d171ec9f886216b9acee49093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7911465"/>
                    </a:xfrm>
                    <a:prstGeom prst="rect">
                      <a:avLst/>
                    </a:prstGeom>
                    <a:noFill/>
                    <a:ln>
                      <a:noFill/>
                    </a:ln>
                  </pic:spPr>
                </pic:pic>
              </a:graphicData>
            </a:graphic>
          </wp:inline>
        </w:drawing>
      </w:r>
      <w:r>
        <w:rPr>
          <w:rFonts w:ascii="楷体" w:hAnsi="楷体" w:eastAsia="楷体" w:cs="Times New Roman"/>
          <w:b/>
          <w:color w:val="000000"/>
          <w:sz w:val="44"/>
          <w:szCs w:val="44"/>
        </w:rPr>
        <w:drawing>
          <wp:inline distT="0" distB="0" distL="0" distR="0">
            <wp:extent cx="5274310" cy="6440805"/>
            <wp:effectExtent l="0" t="0" r="2540" b="0"/>
            <wp:docPr id="2" name="图片 2" descr="C:\WINDOWS\Temp\WeChat Files\34dc49b0ec5f5999285fb282eee568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WINDOWS\Temp\WeChat Files\34dc49b0ec5f5999285fb282eee568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6440880"/>
                    </a:xfrm>
                    <a:prstGeom prst="rect">
                      <a:avLst/>
                    </a:prstGeom>
                    <a:noFill/>
                    <a:ln>
                      <a:noFill/>
                    </a:ln>
                  </pic:spPr>
                </pic:pic>
              </a:graphicData>
            </a:graphic>
          </wp:inline>
        </w:drawing>
      </w:r>
    </w:p>
    <w:p>
      <w:pPr>
        <w:keepNext/>
        <w:keepLines/>
        <w:spacing w:before="340" w:after="330"/>
        <w:outlineLvl w:val="0"/>
        <w:rPr>
          <w:rFonts w:ascii="楷体" w:hAnsi="楷体" w:eastAsia="楷体" w:cs="Times New Roman"/>
          <w:b/>
          <w:color w:val="000000"/>
          <w:sz w:val="44"/>
          <w:szCs w:val="44"/>
        </w:rPr>
      </w:pPr>
      <w:r>
        <w:rPr>
          <w:rFonts w:ascii="楷体" w:hAnsi="楷体" w:eastAsia="楷体" w:cs="Times New Roman"/>
          <w:b/>
          <w:color w:val="000000"/>
          <w:sz w:val="44"/>
          <w:szCs w:val="44"/>
        </w:rPr>
        <w:drawing>
          <wp:inline distT="0" distB="0" distL="0" distR="0">
            <wp:extent cx="5274310" cy="6207125"/>
            <wp:effectExtent l="0" t="0" r="2540" b="3175"/>
            <wp:docPr id="7" name="图片 7" descr="C:\WINDOWS\Temp\WeChat Files\ce44b9af073c7cf01e4fa58926c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WINDOWS\Temp\WeChat Files\ce44b9af073c7cf01e4fa58926ce65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6207510"/>
                    </a:xfrm>
                    <a:prstGeom prst="rect">
                      <a:avLst/>
                    </a:prstGeom>
                    <a:noFill/>
                    <a:ln>
                      <a:noFill/>
                    </a:ln>
                  </pic:spPr>
                </pic:pic>
              </a:graphicData>
            </a:graphic>
          </wp:inline>
        </w:drawing>
      </w:r>
    </w:p>
    <w:p>
      <w:r>
        <w:rPr>
          <w:rFonts w:hint="eastAsia" w:ascii="楷体" w:hAnsi="楷体" w:eastAsia="楷体" w:cs="Times New Roman"/>
          <w:b/>
          <w:color w:val="000000"/>
          <w:sz w:val="44"/>
          <w:szCs w:val="44"/>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VlY2NiODZiOGQ4Yzk1Njc2MjY2ZGI0MWE3MTZkNzgifQ=="/>
  </w:docVars>
  <w:rsids>
    <w:rsidRoot w:val="008D30FD"/>
    <w:rsid w:val="00045BDE"/>
    <w:rsid w:val="000C51DA"/>
    <w:rsid w:val="000E27A7"/>
    <w:rsid w:val="00202E15"/>
    <w:rsid w:val="0022147F"/>
    <w:rsid w:val="00225886"/>
    <w:rsid w:val="00226C49"/>
    <w:rsid w:val="002600AC"/>
    <w:rsid w:val="00297E2B"/>
    <w:rsid w:val="003B170D"/>
    <w:rsid w:val="004873C0"/>
    <w:rsid w:val="004934A3"/>
    <w:rsid w:val="005313CF"/>
    <w:rsid w:val="00570212"/>
    <w:rsid w:val="0071237C"/>
    <w:rsid w:val="00813A3B"/>
    <w:rsid w:val="00846448"/>
    <w:rsid w:val="008D30FD"/>
    <w:rsid w:val="009313D8"/>
    <w:rsid w:val="00987669"/>
    <w:rsid w:val="009E525E"/>
    <w:rsid w:val="00B169C2"/>
    <w:rsid w:val="00D065A1"/>
    <w:rsid w:val="00F33AB3"/>
    <w:rsid w:val="00F52B11"/>
    <w:rsid w:val="04A80678"/>
    <w:rsid w:val="339C0C78"/>
    <w:rsid w:val="34476929"/>
    <w:rsid w:val="41AD1030"/>
    <w:rsid w:val="5F494014"/>
    <w:rsid w:val="6081780B"/>
    <w:rsid w:val="63C15A31"/>
    <w:rsid w:val="68471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1"/>
    <w:qFormat/>
    <w:uiPriority w:val="99"/>
    <w:pPr>
      <w:keepNext/>
      <w:keepLines/>
      <w:spacing w:before="340" w:after="330" w:line="578" w:lineRule="auto"/>
      <w:outlineLvl w:val="0"/>
    </w:pPr>
    <w:rPr>
      <w:rFonts w:ascii="Calibri" w:hAnsi="Calibri" w:eastAsia="宋体" w:cs="Times New Roman"/>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qFormat/>
    <w:uiPriority w:val="0"/>
    <w:pPr>
      <w:ind w:left="420" w:leftChars="200"/>
      <w:textAlignment w:val="baseline"/>
    </w:pPr>
    <w:rPr>
      <w:rFonts w:eastAsia="仿宋_GB2312"/>
      <w:sz w:val="32"/>
      <w:szCs w:val="32"/>
    </w:rPr>
  </w:style>
  <w:style w:type="paragraph" w:styleId="4">
    <w:name w:val="Balloon Text"/>
    <w:basedOn w:val="1"/>
    <w:link w:val="12"/>
    <w:semiHidden/>
    <w:unhideWhenUsed/>
    <w:qFormat/>
    <w:uiPriority w:val="99"/>
    <w:rPr>
      <w:sz w:val="18"/>
      <w:szCs w:val="18"/>
    </w:r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customStyle="1" w:styleId="11">
    <w:name w:val="标题 1 字符"/>
    <w:basedOn w:val="9"/>
    <w:link w:val="3"/>
    <w:qFormat/>
    <w:uiPriority w:val="99"/>
    <w:rPr>
      <w:rFonts w:ascii="Calibri" w:hAnsi="Calibri" w:eastAsia="宋体" w:cs="Times New Roman"/>
      <w:b/>
      <w:bCs/>
      <w:kern w:val="44"/>
      <w:sz w:val="44"/>
      <w:szCs w:val="44"/>
    </w:rPr>
  </w:style>
  <w:style w:type="character" w:customStyle="1" w:styleId="12">
    <w:name w:val="批注框文本 字符"/>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220</Words>
  <Characters>1254</Characters>
  <Lines>10</Lines>
  <Paragraphs>2</Paragraphs>
  <TotalTime>0</TotalTime>
  <ScaleCrop>false</ScaleCrop>
  <LinksUpToDate>false</LinksUpToDate>
  <CharactersWithSpaces>1472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2023-11-22T09:11:00Z</dcterms:created>
  <dc:creator>XC</dc:creator>
  <cp:lastModifiedBy>好奇害死汪</cp:lastModifiedBy>
  <cp:lastPrinted>2023-11-24T07:54:00Z</cp:lastPrinted>
  <dcterms:modified xsi:type="dcterms:W3CDTF">2023-11-24T08:46:49Z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460D4B9A4F6445979BFBE1A90C8743A5_12</vt:lpwstr>
  </property>
</Properties>
</file>